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61D5" w14:textId="1130ECF5" w:rsidR="006F205A" w:rsidRDefault="00FE4E43">
      <w:pPr>
        <w:pStyle w:val="1"/>
        <w:jc w:val="center"/>
        <w:rPr>
          <w:b/>
          <w:color w:val="auto"/>
        </w:rPr>
      </w:pPr>
      <w:r>
        <w:rPr>
          <w:b/>
          <w:color w:val="auto"/>
        </w:rPr>
        <w:t>Протокол заседания Научно-технического совета Комитета по развитию общественного транспорта Российской академии транспорта</w:t>
      </w:r>
    </w:p>
    <w:p w14:paraId="70B7E25F" w14:textId="77777777" w:rsidR="006F205A" w:rsidRDefault="00FE4E43">
      <w:pPr>
        <w:spacing w:after="0" w:line="240" w:lineRule="auto"/>
        <w:rPr>
          <w:rFonts w:ascii="Times New Roman" w:hAnsi="Times New Roman" w:cs="Times New Roman"/>
          <w:sz w:val="24"/>
          <w:szCs w:val="24"/>
        </w:rPr>
      </w:pPr>
      <w:r>
        <w:rPr>
          <w:rFonts w:ascii="Times New Roman" w:hAnsi="Times New Roman" w:cs="Times New Roman"/>
          <w:sz w:val="24"/>
          <w:szCs w:val="24"/>
        </w:rPr>
        <w:t>23.05.2023, Москва, НИИАТ</w:t>
      </w:r>
    </w:p>
    <w:p w14:paraId="597446FA" w14:textId="77777777" w:rsidR="006F205A" w:rsidRDefault="00FE4E43">
      <w:pPr>
        <w:pStyle w:val="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В.В. Донченко, А.Э. Горев, А.С. Морозов, А.А. Белогребень</w:t>
      </w:r>
    </w:p>
    <w:p w14:paraId="5CD3D762" w14:textId="77777777" w:rsidR="006F205A" w:rsidRDefault="006F205A"/>
    <w:p w14:paraId="45FAC064" w14:textId="56169BAE" w:rsidR="006F205A" w:rsidRPr="002572F7" w:rsidRDefault="002572F7">
      <w:pPr>
        <w:spacing w:after="0" w:line="240" w:lineRule="auto"/>
        <w:ind w:firstLine="708"/>
        <w:jc w:val="both"/>
        <w:rPr>
          <w:rFonts w:ascii="Times New Roman" w:hAnsi="Times New Roman" w:cs="Times New Roman"/>
          <w:sz w:val="24"/>
          <w:szCs w:val="24"/>
        </w:rPr>
      </w:pPr>
      <w:r w:rsidRPr="002572F7">
        <w:rPr>
          <w:rFonts w:ascii="Times New Roman" w:hAnsi="Times New Roman" w:cs="Times New Roman"/>
          <w:sz w:val="24"/>
          <w:szCs w:val="24"/>
        </w:rPr>
        <w:t>Существенным недостатком действующих в настоящее время программ, мероприятий и инициатив по развитию ПТОП является тот факт, что представленные в них меры по направлены не на повышение привлекательности ПТОП для населения, а на перевозчиков или органы исполнительной власти. В связи с этим повышение эффективности и качества функционирования городских транспортных систем требует комплексного рассмотрения и системной реформации. В этом контексте разрабатываемая программа развития ГНЭТ должна рассматриваться во взаимосвязи с другими видами ПТОП, формирующими транспортные системы городских агломераций</w:t>
      </w:r>
      <w:r w:rsidR="00FE4E43" w:rsidRPr="002572F7">
        <w:rPr>
          <w:rFonts w:ascii="Times New Roman" w:hAnsi="Times New Roman" w:cs="Times New Roman"/>
          <w:sz w:val="24"/>
          <w:szCs w:val="24"/>
        </w:rPr>
        <w:t xml:space="preserve">. </w:t>
      </w:r>
    </w:p>
    <w:p w14:paraId="6DBB47FB" w14:textId="4D16136B" w:rsidR="002572F7" w:rsidRDefault="002572F7">
      <w:pPr>
        <w:spacing w:after="0" w:line="240" w:lineRule="auto"/>
        <w:ind w:firstLine="708"/>
        <w:jc w:val="both"/>
        <w:rPr>
          <w:rFonts w:ascii="Times New Roman" w:hAnsi="Times New Roman" w:cs="Times New Roman"/>
          <w:color w:val="000000"/>
          <w:sz w:val="24"/>
          <w:szCs w:val="24"/>
          <w:shd w:val="clear" w:color="auto" w:fill="FFFFFF"/>
        </w:rPr>
      </w:pPr>
      <w:r w:rsidRPr="002572F7">
        <w:rPr>
          <w:rFonts w:ascii="Times New Roman" w:hAnsi="Times New Roman" w:cs="Times New Roman"/>
          <w:color w:val="000000"/>
          <w:sz w:val="24"/>
          <w:szCs w:val="24"/>
          <w:shd w:val="clear" w:color="auto" w:fill="FFFFFF"/>
        </w:rPr>
        <w:t xml:space="preserve">Для реализации комплексного подхода к реформированию и развитию ГНЭТ требуется построение эффективно работающей системы стратегического транспортного планирования, которая позволит четко определить место и роль каждого вида ПТОП, параметры его функционирования и взаимодействия с другими видами ПТОП. Сейчас документы транспортного планирования (на уровне субъектов РФ и городских агломераций) – </w:t>
      </w:r>
      <w:r>
        <w:rPr>
          <w:rFonts w:ascii="Times New Roman" w:hAnsi="Times New Roman" w:cs="Times New Roman"/>
          <w:color w:val="000000"/>
          <w:sz w:val="24"/>
          <w:szCs w:val="24"/>
          <w:shd w:val="clear" w:color="auto" w:fill="FFFFFF"/>
        </w:rPr>
        <w:t>Программа комплексного развития транспортной инфраструктуры (</w:t>
      </w:r>
      <w:r w:rsidRPr="002572F7">
        <w:rPr>
          <w:rFonts w:ascii="Times New Roman" w:hAnsi="Times New Roman" w:cs="Times New Roman"/>
          <w:color w:val="000000"/>
          <w:sz w:val="24"/>
          <w:szCs w:val="24"/>
          <w:shd w:val="clear" w:color="auto" w:fill="FFFFFF"/>
        </w:rPr>
        <w:t>ПКРТИ</w:t>
      </w:r>
      <w:r>
        <w:rPr>
          <w:rFonts w:ascii="Times New Roman" w:hAnsi="Times New Roman" w:cs="Times New Roman"/>
          <w:color w:val="000000"/>
          <w:sz w:val="24"/>
          <w:szCs w:val="24"/>
          <w:shd w:val="clear" w:color="auto" w:fill="FFFFFF"/>
        </w:rPr>
        <w:t>)</w:t>
      </w:r>
      <w:r w:rsidRPr="002572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Комплексная схема организации транспортного обслуживания населения (</w:t>
      </w:r>
      <w:r w:rsidRPr="002572F7">
        <w:rPr>
          <w:rFonts w:ascii="Times New Roman" w:hAnsi="Times New Roman" w:cs="Times New Roman"/>
          <w:color w:val="000000"/>
          <w:sz w:val="24"/>
          <w:szCs w:val="24"/>
          <w:shd w:val="clear" w:color="auto" w:fill="FFFFFF"/>
        </w:rPr>
        <w:t>КСОТ</w:t>
      </w:r>
      <w:r>
        <w:rPr>
          <w:rFonts w:ascii="Times New Roman" w:hAnsi="Times New Roman" w:cs="Times New Roman"/>
          <w:color w:val="000000"/>
          <w:sz w:val="24"/>
          <w:szCs w:val="24"/>
          <w:shd w:val="clear" w:color="auto" w:fill="FFFFFF"/>
        </w:rPr>
        <w:t>)</w:t>
      </w:r>
      <w:r w:rsidRPr="002572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Комплексная схема организации дорожного движения (</w:t>
      </w:r>
      <w:r w:rsidRPr="002572F7">
        <w:rPr>
          <w:rFonts w:ascii="Times New Roman" w:hAnsi="Times New Roman" w:cs="Times New Roman"/>
          <w:color w:val="000000"/>
          <w:sz w:val="24"/>
          <w:szCs w:val="24"/>
          <w:shd w:val="clear" w:color="auto" w:fill="FFFFFF"/>
        </w:rPr>
        <w:t>КСОДД</w:t>
      </w:r>
      <w:r>
        <w:rPr>
          <w:rFonts w:ascii="Times New Roman" w:hAnsi="Times New Roman" w:cs="Times New Roman"/>
          <w:color w:val="000000"/>
          <w:sz w:val="24"/>
          <w:szCs w:val="24"/>
          <w:shd w:val="clear" w:color="auto" w:fill="FFFFFF"/>
        </w:rPr>
        <w:t>)</w:t>
      </w:r>
      <w:r w:rsidRPr="002572F7">
        <w:rPr>
          <w:rFonts w:ascii="Times New Roman" w:hAnsi="Times New Roman" w:cs="Times New Roman"/>
          <w:color w:val="000000"/>
          <w:sz w:val="24"/>
          <w:szCs w:val="24"/>
          <w:shd w:val="clear" w:color="auto" w:fill="FFFFFF"/>
        </w:rPr>
        <w:t xml:space="preserve">, документ планирования регулярных перевозок </w:t>
      </w:r>
      <w:r>
        <w:rPr>
          <w:rFonts w:ascii="Times New Roman" w:hAnsi="Times New Roman" w:cs="Times New Roman"/>
          <w:color w:val="000000"/>
          <w:sz w:val="24"/>
          <w:szCs w:val="24"/>
          <w:shd w:val="clear" w:color="auto" w:fill="FFFFFF"/>
        </w:rPr>
        <w:t xml:space="preserve">(ДПРП) </w:t>
      </w:r>
      <w:r w:rsidRPr="002572F7">
        <w:rPr>
          <w:rFonts w:ascii="Times New Roman" w:hAnsi="Times New Roman" w:cs="Times New Roman"/>
          <w:color w:val="000000"/>
          <w:sz w:val="24"/>
          <w:szCs w:val="24"/>
          <w:shd w:val="clear" w:color="auto" w:fill="FFFFFF"/>
        </w:rPr>
        <w:t xml:space="preserve">– в действительности </w:t>
      </w:r>
      <w:r w:rsidR="00F4622E">
        <w:rPr>
          <w:rFonts w:ascii="Times New Roman" w:hAnsi="Times New Roman" w:cs="Times New Roman"/>
          <w:color w:val="000000"/>
          <w:sz w:val="24"/>
          <w:szCs w:val="24"/>
          <w:shd w:val="clear" w:color="auto" w:fill="FFFFFF"/>
        </w:rPr>
        <w:t>утверждены</w:t>
      </w:r>
      <w:r w:rsidRPr="002572F7">
        <w:rPr>
          <w:rFonts w:ascii="Times New Roman" w:hAnsi="Times New Roman" w:cs="Times New Roman"/>
          <w:color w:val="000000"/>
          <w:sz w:val="24"/>
          <w:szCs w:val="24"/>
          <w:shd w:val="clear" w:color="auto" w:fill="FFFFFF"/>
        </w:rPr>
        <w:t xml:space="preserve"> чуть более, чем в 50% субъектах РФ, во многих субъектах они не разрабатывались, а в отдельных регионах они разработаны по формальному признаку и не имеют какой-либо прикладной ценности</w:t>
      </w:r>
      <w:r w:rsidR="00FE4E43" w:rsidRPr="002572F7">
        <w:rPr>
          <w:rFonts w:ascii="Times New Roman" w:hAnsi="Times New Roman" w:cs="Times New Roman"/>
          <w:color w:val="000000"/>
          <w:sz w:val="24"/>
          <w:szCs w:val="24"/>
          <w:shd w:val="clear" w:color="auto" w:fill="FFFFFF"/>
        </w:rPr>
        <w:t>.</w:t>
      </w:r>
      <w:r w:rsidR="00FE4E43">
        <w:rPr>
          <w:rFonts w:ascii="Times New Roman" w:hAnsi="Times New Roman" w:cs="Times New Roman"/>
          <w:color w:val="000000"/>
          <w:sz w:val="24"/>
          <w:szCs w:val="24"/>
          <w:shd w:val="clear" w:color="auto" w:fill="FFFFFF"/>
        </w:rPr>
        <w:t xml:space="preserve">  </w:t>
      </w:r>
    </w:p>
    <w:p w14:paraId="42EA6BD9" w14:textId="77777777" w:rsidR="002572F7" w:rsidRDefault="002572F7">
      <w:pPr>
        <w:spacing w:after="0" w:line="240" w:lineRule="auto"/>
        <w:ind w:firstLine="708"/>
        <w:jc w:val="both"/>
        <w:rPr>
          <w:rFonts w:ascii="Times New Roman" w:hAnsi="Times New Roman" w:cs="Times New Roman"/>
          <w:color w:val="000000"/>
          <w:sz w:val="24"/>
          <w:szCs w:val="24"/>
          <w:shd w:val="clear" w:color="auto" w:fill="FFFFFF"/>
        </w:rPr>
      </w:pPr>
    </w:p>
    <w:p w14:paraId="6EC0DC54" w14:textId="77777777" w:rsidR="002572F7" w:rsidRPr="00086510" w:rsidRDefault="002572F7" w:rsidP="002572F7">
      <w:pPr>
        <w:pStyle w:val="af9"/>
        <w:numPr>
          <w:ilvl w:val="0"/>
          <w:numId w:val="7"/>
        </w:numPr>
        <w:spacing w:after="0" w:line="240" w:lineRule="auto"/>
        <w:jc w:val="both"/>
        <w:rPr>
          <w:rFonts w:ascii="Times New Roman" w:hAnsi="Times New Roman" w:cs="Times New Roman"/>
          <w:b/>
          <w:color w:val="000000"/>
          <w:sz w:val="32"/>
          <w:szCs w:val="32"/>
          <w:shd w:val="clear" w:color="auto" w:fill="FFFFFF"/>
        </w:rPr>
      </w:pPr>
      <w:r w:rsidRPr="00086510">
        <w:rPr>
          <w:rFonts w:ascii="Times New Roman" w:hAnsi="Times New Roman" w:cs="Times New Roman"/>
          <w:b/>
          <w:color w:val="000000"/>
          <w:sz w:val="32"/>
          <w:szCs w:val="32"/>
          <w:shd w:val="clear" w:color="auto" w:fill="FFFFFF"/>
        </w:rPr>
        <w:t>Совершенствование планирования городских транспортных систем</w:t>
      </w:r>
      <w:r>
        <w:rPr>
          <w:rFonts w:ascii="Times New Roman" w:hAnsi="Times New Roman" w:cs="Times New Roman"/>
          <w:b/>
          <w:color w:val="000000"/>
          <w:sz w:val="32"/>
          <w:szCs w:val="32"/>
          <w:shd w:val="clear" w:color="auto" w:fill="FFFFFF"/>
        </w:rPr>
        <w:t xml:space="preserve"> и управления ими</w:t>
      </w:r>
      <w:r w:rsidRPr="00086510">
        <w:rPr>
          <w:rFonts w:ascii="Times New Roman" w:hAnsi="Times New Roman" w:cs="Times New Roman"/>
          <w:b/>
          <w:color w:val="000000"/>
          <w:sz w:val="32"/>
          <w:szCs w:val="32"/>
          <w:shd w:val="clear" w:color="auto" w:fill="FFFFFF"/>
        </w:rPr>
        <w:t>, как базовая предпосылка совершенствования функционирования ГНЭТ</w:t>
      </w:r>
    </w:p>
    <w:p w14:paraId="275D98C0" w14:textId="77777777" w:rsidR="002572F7" w:rsidRDefault="002572F7">
      <w:pPr>
        <w:spacing w:after="0" w:line="240" w:lineRule="auto"/>
        <w:ind w:firstLine="708"/>
        <w:jc w:val="both"/>
        <w:rPr>
          <w:rFonts w:ascii="Times New Roman" w:hAnsi="Times New Roman" w:cs="Times New Roman"/>
          <w:color w:val="000000"/>
          <w:sz w:val="24"/>
          <w:szCs w:val="24"/>
          <w:shd w:val="clear" w:color="auto" w:fill="FFFFFF"/>
        </w:rPr>
      </w:pPr>
    </w:p>
    <w:p w14:paraId="3FB3847C" w14:textId="56BA861A" w:rsidR="006F205A" w:rsidRDefault="001D38E6">
      <w:pPr>
        <w:spacing w:after="0" w:line="240" w:lineRule="auto"/>
        <w:ind w:firstLine="708"/>
        <w:jc w:val="both"/>
        <w:rPr>
          <w:rFonts w:ascii="Times New Roman" w:hAnsi="Times New Roman" w:cs="Times New Roman"/>
          <w:color w:val="000000"/>
          <w:sz w:val="24"/>
          <w:szCs w:val="24"/>
          <w:shd w:val="clear" w:color="auto" w:fill="FFFFFF"/>
        </w:rPr>
      </w:pPr>
      <w:r w:rsidRPr="001D38E6">
        <w:rPr>
          <w:rFonts w:ascii="Times New Roman" w:hAnsi="Times New Roman" w:cs="Times New Roman"/>
          <w:color w:val="000000"/>
          <w:sz w:val="24"/>
          <w:szCs w:val="24"/>
          <w:shd w:val="clear" w:color="auto" w:fill="FFFFFF"/>
        </w:rPr>
        <w:t>Одним</w:t>
      </w:r>
      <w:r w:rsidRPr="001D38E6">
        <w:rPr>
          <w:rFonts w:ascii="Times New Roman" w:hAnsi="Times New Roman"/>
          <w:color w:val="000000"/>
          <w:sz w:val="24"/>
          <w:shd w:val="clear" w:color="auto" w:fill="FFFFFF"/>
        </w:rPr>
        <w:t xml:space="preserve"> из первых шагов для построения устойчивых </w:t>
      </w:r>
      <w:r w:rsidRPr="001D38E6">
        <w:rPr>
          <w:rFonts w:ascii="Times New Roman" w:hAnsi="Times New Roman" w:cs="Times New Roman"/>
          <w:color w:val="000000"/>
          <w:sz w:val="24"/>
          <w:szCs w:val="24"/>
          <w:shd w:val="clear" w:color="auto" w:fill="FFFFFF"/>
        </w:rPr>
        <w:t xml:space="preserve">городских </w:t>
      </w:r>
      <w:r w:rsidRPr="001D38E6">
        <w:rPr>
          <w:rFonts w:ascii="Times New Roman" w:hAnsi="Times New Roman"/>
          <w:color w:val="000000"/>
          <w:sz w:val="24"/>
          <w:shd w:val="clear" w:color="auto" w:fill="FFFFFF"/>
        </w:rPr>
        <w:t xml:space="preserve">транспортных систем </w:t>
      </w:r>
      <w:r w:rsidRPr="001D38E6">
        <w:rPr>
          <w:rFonts w:ascii="Times New Roman" w:hAnsi="Times New Roman" w:cs="Times New Roman"/>
          <w:color w:val="000000"/>
          <w:sz w:val="24"/>
          <w:szCs w:val="24"/>
          <w:shd w:val="clear" w:color="auto" w:fill="FFFFFF"/>
        </w:rPr>
        <w:t xml:space="preserve">и определения в их рамках требуемых параметров функционирования ГНЭТ </w:t>
      </w:r>
      <w:r w:rsidRPr="001D38E6">
        <w:rPr>
          <w:rFonts w:ascii="Times New Roman" w:hAnsi="Times New Roman"/>
          <w:color w:val="000000"/>
          <w:sz w:val="24"/>
          <w:shd w:val="clear" w:color="auto" w:fill="FFFFFF"/>
        </w:rPr>
        <w:t xml:space="preserve">является </w:t>
      </w:r>
      <w:r w:rsidRPr="001D38E6">
        <w:rPr>
          <w:rFonts w:ascii="Times New Roman" w:hAnsi="Times New Roman" w:cs="Times New Roman"/>
          <w:color w:val="000000"/>
          <w:sz w:val="24"/>
          <w:szCs w:val="24"/>
          <w:shd w:val="clear" w:color="auto" w:fill="FFFFFF"/>
        </w:rPr>
        <w:t>установление необходимости и обязательности процедур транспортного планирования с закреплением соответствующих статей расходов на указанные цели в консолидированных бюджетах субъектов Российской Федерации и муниципальных образований. Данные документы должны стать проектными материалами по развитию транспорта</w:t>
      </w:r>
      <w:r w:rsidR="00FE4E43">
        <w:rPr>
          <w:rFonts w:ascii="Times New Roman" w:hAnsi="Times New Roman" w:cs="Times New Roman"/>
          <w:color w:val="000000"/>
          <w:sz w:val="24"/>
          <w:szCs w:val="24"/>
          <w:shd w:val="clear" w:color="auto" w:fill="FFFFFF"/>
        </w:rPr>
        <w:t>.</w:t>
      </w:r>
    </w:p>
    <w:p w14:paraId="64EE5FD0" w14:textId="4CB77886" w:rsidR="006F205A" w:rsidRDefault="001D38E6">
      <w:pPr>
        <w:spacing w:after="0" w:line="240" w:lineRule="auto"/>
        <w:ind w:firstLine="709"/>
        <w:jc w:val="both"/>
        <w:rPr>
          <w:rFonts w:ascii="Times New Roman" w:hAnsi="Times New Roman" w:cs="Times New Roman"/>
          <w:sz w:val="24"/>
          <w:szCs w:val="24"/>
        </w:rPr>
      </w:pPr>
      <w:r w:rsidRPr="00386069">
        <w:rPr>
          <w:rFonts w:ascii="Times New Roman" w:hAnsi="Times New Roman" w:cs="Times New Roman"/>
          <w:color w:val="000000"/>
          <w:sz w:val="24"/>
          <w:szCs w:val="24"/>
          <w:shd w:val="clear" w:color="auto" w:fill="FFFFFF"/>
        </w:rPr>
        <w:t xml:space="preserve">Другой важный шаг – это формирование прямой </w:t>
      </w:r>
      <w:r w:rsidRPr="001D38E6">
        <w:rPr>
          <w:rFonts w:ascii="Times New Roman" w:hAnsi="Times New Roman" w:cs="Times New Roman"/>
          <w:color w:val="000000"/>
          <w:sz w:val="24"/>
          <w:szCs w:val="24"/>
          <w:shd w:val="clear" w:color="auto" w:fill="FFFFFF"/>
        </w:rPr>
        <w:t xml:space="preserve">ответственности руководителей органов власти за состояние и развитие ПТОП. Для этой цели предлагается </w:t>
      </w:r>
      <w:r w:rsidRPr="001D38E6">
        <w:rPr>
          <w:rFonts w:ascii="Times New Roman" w:hAnsi="Times New Roman" w:cs="Times New Roman"/>
          <w:sz w:val="24"/>
          <w:szCs w:val="24"/>
        </w:rPr>
        <w:t>включение в систему оценки качества работы руководителей субъектов</w:t>
      </w:r>
      <w:r w:rsidRPr="00386069">
        <w:rPr>
          <w:rFonts w:ascii="Times New Roman" w:hAnsi="Times New Roman" w:cs="Times New Roman"/>
          <w:sz w:val="24"/>
          <w:szCs w:val="24"/>
        </w:rPr>
        <w:t xml:space="preserve"> Российской Федерации и городов показателей оценки состояния системы пассажирского транспорта общего пользования, а также установление прямой ответственности за выполнение соответствующих целевых нормативов. Для этого предлагается внесение изменений в 542 Постановление Правительства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386069">
        <w:rPr>
          <w:rFonts w:ascii="Times New Roman" w:hAnsi="Times New Roman" w:cs="Times New Roman"/>
          <w:sz w:val="24"/>
          <w:szCs w:val="24"/>
        </w:rPr>
        <w:lastRenderedPageBreak/>
        <w:t xml:space="preserve">деятельности </w:t>
      </w:r>
      <w:r w:rsidRPr="001D38E6">
        <w:rPr>
          <w:rFonts w:ascii="Times New Roman" w:hAnsi="Times New Roman" w:cs="Times New Roman"/>
          <w:sz w:val="24"/>
          <w:szCs w:val="24"/>
        </w:rPr>
        <w:t>органов исполнительной власти субъектов Российской Федерации», которое бы определяло соответствующие критерии оценки для систем пассажирского транспорта общего пользования (включая показателя качества функционирования ГНЭТ), так как данные услуги занимают 2-е место по объемам их потребления, после услуг водоотведения</w:t>
      </w:r>
      <w:r w:rsidR="00FE4E43">
        <w:rPr>
          <w:rFonts w:ascii="Times New Roman" w:hAnsi="Times New Roman" w:cs="Times New Roman"/>
          <w:sz w:val="24"/>
          <w:szCs w:val="24"/>
        </w:rPr>
        <w:t>.</w:t>
      </w:r>
      <w:r w:rsidR="00FE4E43">
        <w:rPr>
          <w:rFonts w:ascii="Times New Roman" w:hAnsi="Times New Roman" w:cs="Times New Roman"/>
          <w:color w:val="000000"/>
          <w:sz w:val="24"/>
          <w:szCs w:val="24"/>
          <w:shd w:val="clear" w:color="auto" w:fill="FFFFFF"/>
        </w:rPr>
        <w:t xml:space="preserve">  </w:t>
      </w:r>
    </w:p>
    <w:p w14:paraId="27DE9571" w14:textId="3B9E28A2" w:rsidR="006F205A" w:rsidRDefault="00FE4E4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Следующий шаг – это построение системы измерения, оценки и обеспечения соблюдения качества транспортного обслуживания населения. Для этого требуется, прежде всего, утверждение обязательных к исполнению минимальных требований к </w:t>
      </w:r>
      <w:r w:rsidR="001D38E6">
        <w:rPr>
          <w:rFonts w:ascii="Times New Roman" w:hAnsi="Times New Roman" w:cs="Times New Roman"/>
          <w:sz w:val="24"/>
          <w:szCs w:val="24"/>
        </w:rPr>
        <w:t>качеству транспортного</w:t>
      </w:r>
      <w:r>
        <w:rPr>
          <w:rFonts w:ascii="Times New Roman" w:hAnsi="Times New Roman" w:cs="Times New Roman"/>
          <w:sz w:val="24"/>
          <w:szCs w:val="24"/>
        </w:rPr>
        <w:t xml:space="preserve"> обслуживания населения всеми видами транспорта на федеральном, региональном и местном уровне </w:t>
      </w:r>
      <w:r w:rsidR="00CF6293">
        <w:rPr>
          <w:rFonts w:ascii="Times New Roman" w:hAnsi="Times New Roman" w:cs="Times New Roman"/>
          <w:sz w:val="24"/>
          <w:szCs w:val="24"/>
        </w:rPr>
        <w:t xml:space="preserve">с обязательной организацией </w:t>
      </w:r>
      <w:r>
        <w:rPr>
          <w:rFonts w:ascii="Times New Roman" w:hAnsi="Times New Roman" w:cs="Times New Roman"/>
          <w:sz w:val="24"/>
          <w:szCs w:val="24"/>
        </w:rPr>
        <w:t>перевозок по регулируемому тарифу. Кроме того, важно создание системы мониторинга транспортного обслуживания населения, которая позволит осуществлять контроль качества оказываемых услуг. Такой мониторинг качества должен осуществляться непрерывно.</w:t>
      </w:r>
    </w:p>
    <w:p w14:paraId="29F6A9B9" w14:textId="35172424" w:rsidR="006F205A" w:rsidRDefault="00BA5B1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Гарантия качества и эффективности перевозок возможна только в условиях финансовой устойчивости системы городского транспорта. Прежде всего, для этого</w:t>
      </w:r>
      <w:r w:rsidR="00FE4E43">
        <w:rPr>
          <w:rFonts w:ascii="Times New Roman" w:hAnsi="Times New Roman" w:cs="Times New Roman"/>
          <w:sz w:val="24"/>
          <w:szCs w:val="24"/>
        </w:rPr>
        <w:t xml:space="preserve"> необходима разработка и реализация нового организационно-экономического механизма, предусматривающего </w:t>
      </w:r>
      <w:r w:rsidR="00DE734A">
        <w:rPr>
          <w:rFonts w:ascii="Times New Roman" w:hAnsi="Times New Roman" w:cs="Times New Roman"/>
          <w:sz w:val="24"/>
          <w:szCs w:val="24"/>
        </w:rPr>
        <w:t xml:space="preserve">обеспечение </w:t>
      </w:r>
      <w:r w:rsidR="00FE4E43">
        <w:rPr>
          <w:rFonts w:ascii="Times New Roman" w:hAnsi="Times New Roman" w:cs="Times New Roman"/>
          <w:sz w:val="24"/>
          <w:szCs w:val="24"/>
        </w:rPr>
        <w:t xml:space="preserve">экономической эффективности функционирования регулярных перевозок автомобильным и городским наземным электрическим транспортом. Для этих целей требуется разработка взаимоувязанных механизмов эффективного управления имущественным комплексом, тарифообразования и субсидирования, инвестиционного проектирования, системы управления, государственного заказа, обучения и привлечение квалифицированных кадров и многое другое. </w:t>
      </w:r>
    </w:p>
    <w:p w14:paraId="76D9E0E4" w14:textId="77777777" w:rsidR="006F205A" w:rsidRDefault="00FE4E43">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данных вопросов невозможно без комплексного развития транспортных систем городов и агломераций, интегрированного развития отдельных видов транспорта, транспортного планирования, обеспечения стандартизации качества транспортных систем. </w:t>
      </w:r>
    </w:p>
    <w:p w14:paraId="0B6E01B4" w14:textId="77777777" w:rsidR="002572F7" w:rsidRDefault="002572F7">
      <w:pPr>
        <w:spacing w:after="0" w:line="240" w:lineRule="auto"/>
        <w:ind w:firstLine="708"/>
        <w:jc w:val="both"/>
        <w:rPr>
          <w:rFonts w:ascii="Times New Roman" w:hAnsi="Times New Roman" w:cs="Times New Roman"/>
          <w:b/>
          <w:sz w:val="24"/>
          <w:szCs w:val="24"/>
        </w:rPr>
      </w:pPr>
    </w:p>
    <w:p w14:paraId="0C054D7A" w14:textId="77777777" w:rsidR="002572F7" w:rsidRPr="00347718" w:rsidRDefault="002572F7" w:rsidP="002572F7">
      <w:pPr>
        <w:pStyle w:val="af9"/>
        <w:numPr>
          <w:ilvl w:val="0"/>
          <w:numId w:val="7"/>
        </w:numPr>
        <w:shd w:val="clear" w:color="auto" w:fill="FFFFFF"/>
        <w:spacing w:after="0"/>
        <w:jc w:val="both"/>
        <w:rPr>
          <w:rFonts w:ascii="Times New Roman" w:hAnsi="Times New Roman" w:cs="Times New Roman"/>
          <w:b/>
          <w:sz w:val="32"/>
          <w:szCs w:val="32"/>
        </w:rPr>
      </w:pPr>
      <w:r w:rsidRPr="00347718">
        <w:rPr>
          <w:rFonts w:ascii="Times New Roman" w:hAnsi="Times New Roman" w:cs="Times New Roman"/>
          <w:b/>
          <w:sz w:val="32"/>
          <w:szCs w:val="32"/>
        </w:rPr>
        <w:t>Цель, задачи и принципы построения Программы развития ГНЭТ </w:t>
      </w:r>
    </w:p>
    <w:p w14:paraId="28A98FFB" w14:textId="77777777" w:rsidR="002572F7" w:rsidRDefault="002572F7">
      <w:pPr>
        <w:spacing w:after="0" w:line="240" w:lineRule="auto"/>
        <w:ind w:firstLine="708"/>
        <w:jc w:val="both"/>
        <w:rPr>
          <w:rFonts w:ascii="Times New Roman" w:hAnsi="Times New Roman" w:cs="Times New Roman"/>
          <w:b/>
          <w:sz w:val="24"/>
          <w:szCs w:val="24"/>
        </w:rPr>
      </w:pPr>
    </w:p>
    <w:p w14:paraId="1F957DFF" w14:textId="354B668A" w:rsidR="006F205A" w:rsidRDefault="00FE4E4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Целью</w:t>
      </w:r>
      <w:r>
        <w:rPr>
          <w:rFonts w:ascii="Times New Roman" w:hAnsi="Times New Roman" w:cs="Times New Roman"/>
          <w:sz w:val="24"/>
          <w:szCs w:val="24"/>
        </w:rPr>
        <w:t xml:space="preserve"> программы развития ГЭТ является повышение </w:t>
      </w:r>
      <w:r w:rsidR="00DE734A">
        <w:rPr>
          <w:rFonts w:ascii="Times New Roman" w:hAnsi="Times New Roman" w:cs="Times New Roman"/>
          <w:sz w:val="24"/>
          <w:szCs w:val="24"/>
        </w:rPr>
        <w:t xml:space="preserve">социально-экономической </w:t>
      </w:r>
      <w:r>
        <w:rPr>
          <w:rFonts w:ascii="Times New Roman" w:hAnsi="Times New Roman" w:cs="Times New Roman"/>
          <w:sz w:val="24"/>
          <w:szCs w:val="24"/>
        </w:rPr>
        <w:t xml:space="preserve">эффективности и безопасности функционирования городских транспортных систем за счет развития и </w:t>
      </w:r>
      <w:r w:rsidR="00DE734A">
        <w:rPr>
          <w:rFonts w:ascii="Times New Roman" w:hAnsi="Times New Roman" w:cs="Times New Roman"/>
          <w:sz w:val="24"/>
          <w:szCs w:val="24"/>
        </w:rPr>
        <w:t xml:space="preserve">гарантии обеспечения </w:t>
      </w:r>
      <w:r>
        <w:rPr>
          <w:rFonts w:ascii="Times New Roman" w:hAnsi="Times New Roman" w:cs="Times New Roman"/>
          <w:sz w:val="24"/>
          <w:szCs w:val="24"/>
        </w:rPr>
        <w:t>качества услуг ГЭТ.</w:t>
      </w:r>
    </w:p>
    <w:p w14:paraId="450F5A28" w14:textId="77777777" w:rsidR="006F205A" w:rsidRDefault="00FE4E4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Для достижения цели необходимо решение следующих </w:t>
      </w:r>
      <w:r>
        <w:rPr>
          <w:rFonts w:ascii="Times New Roman" w:hAnsi="Times New Roman" w:cs="Times New Roman"/>
          <w:b/>
          <w:sz w:val="24"/>
          <w:szCs w:val="24"/>
        </w:rPr>
        <w:t>задач</w:t>
      </w:r>
      <w:r>
        <w:rPr>
          <w:rFonts w:ascii="Times New Roman" w:hAnsi="Times New Roman" w:cs="Times New Roman"/>
          <w:sz w:val="24"/>
          <w:szCs w:val="24"/>
        </w:rPr>
        <w:t>:</w:t>
      </w:r>
    </w:p>
    <w:p w14:paraId="7902850C" w14:textId="77777777" w:rsidR="006F205A" w:rsidRDefault="00FE4E43">
      <w:pPr>
        <w:pStyle w:val="paragraph"/>
        <w:numPr>
          <w:ilvl w:val="0"/>
          <w:numId w:val="6"/>
        </w:numPr>
        <w:spacing w:before="0" w:beforeAutospacing="0" w:after="0" w:afterAutospacing="0"/>
        <w:rPr>
          <w:rStyle w:val="normaltextrun"/>
        </w:rPr>
      </w:pPr>
      <w:r>
        <w:rPr>
          <w:rStyle w:val="normaltextrun"/>
        </w:rPr>
        <w:t>мотивация всех сторон организации и осуществления городских пассажирских перевозок на действия, ведущие к гарантии качества и росту эффективности перевозок;</w:t>
      </w:r>
    </w:p>
    <w:p w14:paraId="70B7195D" w14:textId="77777777" w:rsidR="006F205A" w:rsidRDefault="00FE4E43">
      <w:pPr>
        <w:pStyle w:val="paragraph"/>
        <w:numPr>
          <w:ilvl w:val="0"/>
          <w:numId w:val="6"/>
        </w:numPr>
        <w:spacing w:before="0" w:beforeAutospacing="0" w:after="0" w:afterAutospacing="0"/>
        <w:rPr>
          <w:rStyle w:val="normaltextrun"/>
        </w:rPr>
      </w:pPr>
      <w:r>
        <w:rPr>
          <w:rStyle w:val="normaltextrun"/>
        </w:rPr>
        <w:t>интеграция и синхронизация документов территориального, социально-экономического и транспортного планирования;</w:t>
      </w:r>
    </w:p>
    <w:p w14:paraId="3B54F64D" w14:textId="76A364D8" w:rsidR="006F205A" w:rsidRDefault="00FE4E43">
      <w:pPr>
        <w:pStyle w:val="paragraph"/>
        <w:numPr>
          <w:ilvl w:val="0"/>
          <w:numId w:val="6"/>
        </w:numPr>
        <w:spacing w:before="0" w:beforeAutospacing="0" w:after="0" w:afterAutospacing="0"/>
      </w:pPr>
      <w:r>
        <w:rPr>
          <w:rStyle w:val="normaltextrun"/>
        </w:rPr>
        <w:t>стимулирование платежеспособного спроса на услуги пассажирского транспорта общего пользования в целом и ГЭТ в частности;</w:t>
      </w:r>
      <w:r>
        <w:rPr>
          <w:rStyle w:val="eop"/>
        </w:rPr>
        <w:t> </w:t>
      </w:r>
    </w:p>
    <w:p w14:paraId="77343B07" w14:textId="756096F2" w:rsidR="00D528A2" w:rsidRDefault="00D528A2" w:rsidP="00D528A2">
      <w:pPr>
        <w:pStyle w:val="paragraph"/>
        <w:numPr>
          <w:ilvl w:val="0"/>
          <w:numId w:val="6"/>
        </w:numPr>
        <w:spacing w:before="0" w:beforeAutospacing="0" w:after="0" w:afterAutospacing="0"/>
        <w:rPr>
          <w:rStyle w:val="normaltextrun"/>
        </w:rPr>
      </w:pPr>
      <w:r>
        <w:rPr>
          <w:rStyle w:val="normaltextrun"/>
        </w:rPr>
        <w:t>обновление и приведение в нормативное состояние инфраструктуры ГЭТ;</w:t>
      </w:r>
    </w:p>
    <w:p w14:paraId="4579C901" w14:textId="2A6877B3" w:rsidR="006F205A" w:rsidRDefault="00D528A2">
      <w:pPr>
        <w:pStyle w:val="paragraph"/>
        <w:numPr>
          <w:ilvl w:val="0"/>
          <w:numId w:val="6"/>
        </w:numPr>
        <w:spacing w:before="0" w:beforeAutospacing="0" w:after="0" w:afterAutospacing="0"/>
        <w:rPr>
          <w:rStyle w:val="normaltextrun"/>
        </w:rPr>
      </w:pPr>
      <w:r>
        <w:rPr>
          <w:rStyle w:val="normaltextrun"/>
        </w:rPr>
        <w:t xml:space="preserve">приведение </w:t>
      </w:r>
      <w:r w:rsidR="00FE4E43">
        <w:rPr>
          <w:rStyle w:val="normaltextrun"/>
        </w:rPr>
        <w:t>возраста парка транспортных средств ГЭТ</w:t>
      </w:r>
      <w:r>
        <w:rPr>
          <w:rStyle w:val="normaltextrun"/>
        </w:rPr>
        <w:t xml:space="preserve"> к нормативному</w:t>
      </w:r>
      <w:r w:rsidR="00FE4E43">
        <w:rPr>
          <w:rStyle w:val="normaltextrun"/>
        </w:rPr>
        <w:t xml:space="preserve">, улучшение его </w:t>
      </w:r>
      <w:r>
        <w:rPr>
          <w:rStyle w:val="normaltextrun"/>
        </w:rPr>
        <w:t>эргономических качеств</w:t>
      </w:r>
      <w:r w:rsidR="00FE4E43">
        <w:rPr>
          <w:rStyle w:val="normaltextrun"/>
        </w:rPr>
        <w:t xml:space="preserve"> и безопасности, доступности для маломобильных категорий населения;</w:t>
      </w:r>
    </w:p>
    <w:p w14:paraId="4B1BFEB1" w14:textId="537E5CC5" w:rsidR="006F205A" w:rsidRDefault="00FE4E43">
      <w:pPr>
        <w:pStyle w:val="paragraph"/>
        <w:numPr>
          <w:ilvl w:val="0"/>
          <w:numId w:val="6"/>
        </w:numPr>
        <w:spacing w:before="0" w:beforeAutospacing="0" w:after="0" w:afterAutospacing="0"/>
      </w:pPr>
      <w:r>
        <w:rPr>
          <w:rStyle w:val="normaltextrun"/>
        </w:rPr>
        <w:t>совершенствование планирования и организации пассажирских перевозок на основе интеграции отдельных видов транспорта в единую городскую мультимодальную транспортную систему</w:t>
      </w:r>
      <w:r w:rsidR="00D528A2">
        <w:rPr>
          <w:rStyle w:val="normaltextrun"/>
        </w:rPr>
        <w:t>, с едиными беспересадочными тарифами, финансированием и управлением</w:t>
      </w:r>
      <w:r>
        <w:rPr>
          <w:rStyle w:val="normaltextrun"/>
        </w:rPr>
        <w:t>;</w:t>
      </w:r>
      <w:r>
        <w:rPr>
          <w:rStyle w:val="eop"/>
        </w:rPr>
        <w:t> </w:t>
      </w:r>
    </w:p>
    <w:p w14:paraId="0C069835" w14:textId="04C4D4B0" w:rsidR="006F205A" w:rsidRDefault="00FE4E43">
      <w:pPr>
        <w:pStyle w:val="af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реорганизация маршрутных сетей с вводом в строй новых линий для обслуживания основных и наиболее напряженных пассажиропотоков с учетом перспективного развития территории и резерва провозной возможности</w:t>
      </w:r>
      <w:r w:rsidR="00D528A2">
        <w:rPr>
          <w:rFonts w:ascii="Times New Roman" w:hAnsi="Times New Roman" w:cs="Times New Roman"/>
          <w:sz w:val="24"/>
          <w:szCs w:val="24"/>
        </w:rPr>
        <w:t xml:space="preserve"> на всех направлениях, где </w:t>
      </w:r>
      <w:r w:rsidR="00D528A2">
        <w:rPr>
          <w:rFonts w:ascii="Times New Roman" w:hAnsi="Times New Roman" w:cs="Times New Roman"/>
          <w:sz w:val="24"/>
          <w:szCs w:val="24"/>
        </w:rPr>
        <w:lastRenderedPageBreak/>
        <w:t>расчеты подтверждают высокую социально-экономическую эффективность замещения автобусного транспорта электротранспортом</w:t>
      </w:r>
      <w:r>
        <w:rPr>
          <w:rFonts w:ascii="Times New Roman" w:hAnsi="Times New Roman" w:cs="Times New Roman"/>
          <w:sz w:val="24"/>
          <w:szCs w:val="24"/>
        </w:rPr>
        <w:t>;</w:t>
      </w:r>
    </w:p>
    <w:p w14:paraId="7409DCCD" w14:textId="77777777" w:rsidR="006F205A" w:rsidRDefault="00FE4E43">
      <w:pPr>
        <w:pStyle w:val="af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внедрение и обеспечение заданного уровня качества транспортного обслуживания населения, закрепленного утверждаемыми Региональными стандартами качества транспортного обслуживания населения, с учетом бюджетных возможностей; </w:t>
      </w:r>
    </w:p>
    <w:p w14:paraId="3968A37A" w14:textId="0E20226E" w:rsidR="006F205A" w:rsidRDefault="00FE4E43">
      <w:pPr>
        <w:pStyle w:val="af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обеспечения приоритета </w:t>
      </w:r>
      <w:r w:rsidR="00DE734A">
        <w:rPr>
          <w:rFonts w:ascii="Times New Roman" w:hAnsi="Times New Roman" w:cs="Times New Roman"/>
          <w:sz w:val="24"/>
          <w:szCs w:val="24"/>
        </w:rPr>
        <w:t>ГЭТ</w:t>
      </w:r>
      <w:r>
        <w:rPr>
          <w:rFonts w:ascii="Times New Roman" w:hAnsi="Times New Roman" w:cs="Times New Roman"/>
          <w:sz w:val="24"/>
          <w:szCs w:val="24"/>
        </w:rPr>
        <w:t xml:space="preserve"> на улично-дорожной сети и повышение его скорости сообщения и регулярности;</w:t>
      </w:r>
    </w:p>
    <w:p w14:paraId="7E5454A9" w14:textId="77777777" w:rsidR="006F205A" w:rsidRDefault="00FE4E43">
      <w:pPr>
        <w:pStyle w:val="paragraph"/>
        <w:numPr>
          <w:ilvl w:val="0"/>
          <w:numId w:val="6"/>
        </w:numPr>
        <w:spacing w:before="0" w:beforeAutospacing="0" w:after="0" w:afterAutospacing="0"/>
      </w:pPr>
      <w:r>
        <w:rPr>
          <w:rStyle w:val="normaltextrun"/>
        </w:rPr>
        <w:t>повышение уровня квалификации и оплаты труда водителей, престижа их профессии и обеспечение подготовки кадров;</w:t>
      </w:r>
      <w:r>
        <w:rPr>
          <w:rStyle w:val="eop"/>
        </w:rPr>
        <w:t> </w:t>
      </w:r>
    </w:p>
    <w:p w14:paraId="0440D354" w14:textId="01D59C2C" w:rsidR="006F205A" w:rsidRDefault="00FE4E43">
      <w:pPr>
        <w:pStyle w:val="af9"/>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финансовое оздоровление предприятий </w:t>
      </w:r>
      <w:r w:rsidR="00DE734A">
        <w:rPr>
          <w:rFonts w:ascii="Times New Roman" w:hAnsi="Times New Roman" w:cs="Times New Roman"/>
          <w:sz w:val="24"/>
          <w:szCs w:val="24"/>
        </w:rPr>
        <w:t>ГЭТ</w:t>
      </w:r>
      <w:r>
        <w:rPr>
          <w:rFonts w:ascii="Times New Roman" w:hAnsi="Times New Roman" w:cs="Times New Roman"/>
          <w:sz w:val="24"/>
          <w:szCs w:val="24"/>
        </w:rPr>
        <w:t xml:space="preserve"> и формирование эффективного организационно-экономического механизма, обеспечивающего стабильную работу с заданным уровня качества транспортного обслуживания и др.</w:t>
      </w:r>
    </w:p>
    <w:p w14:paraId="45F801C6" w14:textId="77777777" w:rsidR="006F205A" w:rsidRDefault="006F205A">
      <w:pPr>
        <w:pStyle w:val="af9"/>
        <w:spacing w:after="0" w:line="240" w:lineRule="auto"/>
        <w:jc w:val="both"/>
        <w:rPr>
          <w:rFonts w:ascii="Times New Roman" w:hAnsi="Times New Roman" w:cs="Times New Roman"/>
          <w:sz w:val="24"/>
          <w:szCs w:val="24"/>
        </w:rPr>
      </w:pPr>
    </w:p>
    <w:p w14:paraId="5668F4FA" w14:textId="77777777" w:rsidR="006F205A" w:rsidRDefault="00FE4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принципы разработки Программы развития наземного городского электрического транспорта в Российской Федерации до 2030 года</w:t>
      </w:r>
    </w:p>
    <w:p w14:paraId="138AF1D1" w14:textId="77777777" w:rsidR="006F205A" w:rsidRDefault="006F205A">
      <w:pPr>
        <w:spacing w:after="0" w:line="240" w:lineRule="auto"/>
        <w:jc w:val="center"/>
        <w:rPr>
          <w:rFonts w:ascii="Times New Roman" w:hAnsi="Times New Roman" w:cs="Times New Roman"/>
          <w:b/>
          <w:sz w:val="24"/>
          <w:szCs w:val="24"/>
        </w:rPr>
      </w:pPr>
    </w:p>
    <w:p w14:paraId="546B8DFB" w14:textId="58488E7A" w:rsidR="006F205A" w:rsidRDefault="00FE4E43">
      <w:pPr>
        <w:pStyle w:val="af9"/>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Системность и целостность. ГЭТ является неотъемлемой частью ГПТОП – от уровня разработки стратегий до планирования, финансирования и реализации. Планирование и организация работы </w:t>
      </w:r>
      <w:r w:rsidR="00DE734A">
        <w:rPr>
          <w:rFonts w:ascii="Times New Roman" w:hAnsi="Times New Roman" w:cs="Times New Roman"/>
          <w:sz w:val="24"/>
          <w:szCs w:val="24"/>
        </w:rPr>
        <w:t>ГЭТ</w:t>
      </w:r>
      <w:r>
        <w:rPr>
          <w:rFonts w:ascii="Times New Roman" w:hAnsi="Times New Roman" w:cs="Times New Roman"/>
          <w:sz w:val="24"/>
          <w:szCs w:val="24"/>
        </w:rPr>
        <w:t xml:space="preserve"> должны осуществляться в контексте общего планирования транспортного обслуживания населения и управления мобильностью в городах/городских агломерациях. При этом данный вид городского транспорта должен, как правило, рассматриваться в качестве магистрального, берущего на себя наибольшие объемы перевозок.</w:t>
      </w:r>
      <w:r>
        <w:rPr>
          <w:rFonts w:ascii="Times New Roman" w:hAnsi="Times New Roman" w:cs="Times New Roman"/>
          <w:b/>
          <w:sz w:val="24"/>
          <w:szCs w:val="24"/>
        </w:rPr>
        <w:t xml:space="preserve"> </w:t>
      </w:r>
      <w:r>
        <w:rPr>
          <w:rFonts w:ascii="Times New Roman" w:hAnsi="Times New Roman" w:cs="Times New Roman"/>
          <w:sz w:val="24"/>
          <w:szCs w:val="24"/>
        </w:rPr>
        <w:t>Необходимым условием повышения эффективности ГЭТ является обеспечение роста пассажиропотоков за счет устранения контрпродуктивной конкуренции с автобусным транспортом (через снижение дублирования), повышения скорости и регулярности сообщения, дестимулирования использования личного автотранспорта, что возможно только при едином планировании всей системы городского транспорта. Мероприятия программы развития НГЭТ должны быть частью общего Федерального проекта «Развитие общественного транспорта», охватывающего всю систему транспорта общего пользования (в том числе, в части изменения системы управления, организации выделенных полос, изменени</w:t>
      </w:r>
      <w:r w:rsidR="00D528A2">
        <w:rPr>
          <w:rFonts w:ascii="Times New Roman" w:hAnsi="Times New Roman" w:cs="Times New Roman"/>
          <w:sz w:val="24"/>
          <w:szCs w:val="24"/>
        </w:rPr>
        <w:t>я</w:t>
      </w:r>
      <w:r>
        <w:rPr>
          <w:rFonts w:ascii="Times New Roman" w:hAnsi="Times New Roman" w:cs="Times New Roman"/>
          <w:sz w:val="24"/>
          <w:szCs w:val="24"/>
        </w:rPr>
        <w:t xml:space="preserve"> тарифного меню и т.п.). </w:t>
      </w:r>
    </w:p>
    <w:p w14:paraId="3D32B2B8" w14:textId="728ED47B" w:rsidR="006F205A" w:rsidRDefault="00FE4E43">
      <w:pPr>
        <w:pStyle w:val="af9"/>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Эффективность. Развитие ГЭТ должно осуществляться там, где сценарий использования электротранспорта обеспечивает наиболее высокую социально-экономическую эффективность (с учетом все экстернальных затрат) по сравнению со сценарием использования только автобусного транспорта. В случае, если найти сценарий повышения социально-экономической эффективности путем применения электротранспорта не удается, отдельные системы </w:t>
      </w:r>
      <w:r w:rsidR="00D528A2">
        <w:rPr>
          <w:rFonts w:ascii="Times New Roman" w:hAnsi="Times New Roman" w:cs="Times New Roman"/>
          <w:sz w:val="24"/>
          <w:szCs w:val="24"/>
        </w:rPr>
        <w:t xml:space="preserve">ГЭТ </w:t>
      </w:r>
      <w:r>
        <w:rPr>
          <w:rFonts w:ascii="Times New Roman" w:hAnsi="Times New Roman" w:cs="Times New Roman"/>
          <w:sz w:val="24"/>
          <w:szCs w:val="24"/>
        </w:rPr>
        <w:t xml:space="preserve">могут быть закрыты; если же такой сценарий существует (например, за счет достройки необходимых новых участков, отказа от малоэффективных участков, перехода на однопутное движение с обеспечением нормативов качества обслуживания и т.п.), то система электротранспорта должна развиваться в соответствии с выбранным, наиболее экономически эффективным сценарием. </w:t>
      </w:r>
    </w:p>
    <w:p w14:paraId="5CFF2332" w14:textId="77777777" w:rsidR="006F205A" w:rsidRDefault="00FE4E43">
      <w:pPr>
        <w:pStyle w:val="af9"/>
        <w:numPr>
          <w:ilvl w:val="0"/>
          <w:numId w:val="1"/>
        </w:numPr>
        <w:jc w:val="both"/>
        <w:rPr>
          <w:rFonts w:ascii="Times New Roman" w:hAnsi="Times New Roman" w:cs="Times New Roman"/>
          <w:sz w:val="24"/>
          <w:szCs w:val="24"/>
        </w:rPr>
      </w:pPr>
      <w:r>
        <w:rPr>
          <w:rFonts w:ascii="Times New Roman" w:hAnsi="Times New Roman" w:cs="Times New Roman"/>
          <w:sz w:val="24"/>
          <w:szCs w:val="24"/>
        </w:rPr>
        <w:t>Транспарентность. Данные о ГЭТ и о всем ПТОП должны быть открыты, прозрачны и информативны.</w:t>
      </w:r>
    </w:p>
    <w:p w14:paraId="42F613A6" w14:textId="6C7A5DAE" w:rsidR="006F205A" w:rsidRDefault="00FE4E43">
      <w:pPr>
        <w:pStyle w:val="af9"/>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Централизация управления. Управление системой ПТОП в целом и </w:t>
      </w:r>
      <w:r w:rsidR="00DE734A">
        <w:rPr>
          <w:rFonts w:ascii="Times New Roman" w:hAnsi="Times New Roman" w:cs="Times New Roman"/>
          <w:sz w:val="24"/>
          <w:szCs w:val="24"/>
        </w:rPr>
        <w:t>ГЭТ</w:t>
      </w:r>
      <w:r>
        <w:rPr>
          <w:rFonts w:ascii="Times New Roman" w:hAnsi="Times New Roman" w:cs="Times New Roman"/>
          <w:sz w:val="24"/>
          <w:szCs w:val="24"/>
        </w:rPr>
        <w:t xml:space="preserve"> в частности, государственного заказа, контроль за соблюдением требований к качеству и безопасности услуг должны быть сосредоточены в одних руках и быть реализованными на основе соответствующих сервисов ИТС (на уровне города/субъекта или нескольких субъектов).</w:t>
      </w:r>
    </w:p>
    <w:p w14:paraId="755CA304" w14:textId="4E120885" w:rsidR="006F205A" w:rsidRDefault="00FE4E43">
      <w:pPr>
        <w:pStyle w:val="af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Разделение ответственности. Организация транспортного обслуживания населения (в том числе с использованием </w:t>
      </w:r>
      <w:r w:rsidR="00DE734A">
        <w:rPr>
          <w:rFonts w:ascii="Times New Roman" w:hAnsi="Times New Roman" w:cs="Times New Roman"/>
          <w:sz w:val="24"/>
          <w:szCs w:val="24"/>
        </w:rPr>
        <w:t>ГЭТ</w:t>
      </w:r>
      <w:r>
        <w:rPr>
          <w:rFonts w:ascii="Times New Roman" w:hAnsi="Times New Roman" w:cs="Times New Roman"/>
          <w:sz w:val="24"/>
          <w:szCs w:val="24"/>
        </w:rPr>
        <w:t xml:space="preserve">)– компетенция органов местного самоуправления / органов исполнительной власти субъектов РФ. Федеральный центр обеспечивает нормативно-правовое и нормативно-техническое регулирование, осуществляет консультационно-методическую поддержку, обеспечивает передачу опыта и наилучшие практики реализации новой модели транспортного обслуживания населения ПТОП. Для оказания научно-методической поддержки реализации мероприятий Программы в субъектах Российской Федерации необходимо создание Центра компетенций. Контроль и мониторинг достижения целевых показателей, предусмотренных Программой развития </w:t>
      </w:r>
      <w:r w:rsidR="00DE734A">
        <w:rPr>
          <w:rFonts w:ascii="Times New Roman" w:hAnsi="Times New Roman" w:cs="Times New Roman"/>
          <w:sz w:val="24"/>
          <w:szCs w:val="24"/>
        </w:rPr>
        <w:t>ГЭТ</w:t>
      </w:r>
      <w:r>
        <w:rPr>
          <w:rFonts w:ascii="Times New Roman" w:hAnsi="Times New Roman" w:cs="Times New Roman"/>
          <w:sz w:val="24"/>
          <w:szCs w:val="24"/>
        </w:rPr>
        <w:t xml:space="preserve">, должен обеспечивать Проектный офис. Принимая во внимание необходимость содержания дорогостоящей инфраструктуры </w:t>
      </w:r>
      <w:r w:rsidR="00DE734A">
        <w:rPr>
          <w:rFonts w:ascii="Times New Roman" w:hAnsi="Times New Roman" w:cs="Times New Roman"/>
          <w:sz w:val="24"/>
          <w:szCs w:val="24"/>
        </w:rPr>
        <w:t>ГЭТ</w:t>
      </w:r>
      <w:r>
        <w:rPr>
          <w:rFonts w:ascii="Times New Roman" w:hAnsi="Times New Roman" w:cs="Times New Roman"/>
          <w:sz w:val="24"/>
          <w:szCs w:val="24"/>
        </w:rPr>
        <w:t xml:space="preserve"> обязательным условием реализации Программы должно явится со-финансирование регионов/ муниципалитетов в дополнение к мерам федеральной </w:t>
      </w:r>
      <w:r w:rsidR="00183DC6">
        <w:rPr>
          <w:rFonts w:ascii="Times New Roman" w:hAnsi="Times New Roman" w:cs="Times New Roman"/>
          <w:sz w:val="24"/>
          <w:szCs w:val="24"/>
        </w:rPr>
        <w:t xml:space="preserve">методической </w:t>
      </w:r>
      <w:r>
        <w:rPr>
          <w:rFonts w:ascii="Times New Roman" w:hAnsi="Times New Roman" w:cs="Times New Roman"/>
          <w:sz w:val="24"/>
          <w:szCs w:val="24"/>
        </w:rPr>
        <w:t xml:space="preserve">поддержки. </w:t>
      </w:r>
    </w:p>
    <w:p w14:paraId="7DE6B6E0" w14:textId="77777777" w:rsidR="006F205A" w:rsidRDefault="006F205A">
      <w:pPr>
        <w:pStyle w:val="af9"/>
        <w:spacing w:after="0" w:line="240" w:lineRule="auto"/>
        <w:jc w:val="both"/>
        <w:rPr>
          <w:rFonts w:ascii="Times New Roman" w:hAnsi="Times New Roman" w:cs="Times New Roman"/>
          <w:sz w:val="24"/>
          <w:szCs w:val="24"/>
        </w:rPr>
      </w:pPr>
    </w:p>
    <w:p w14:paraId="1702BB45" w14:textId="77777777" w:rsidR="006F205A" w:rsidRDefault="00FE4E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Эффективная реализации Программы требует реформирования законодательства в сфере организации транспортного обслуживания населения. Одним из решений здесь может быть разработка Федерального Закона «Об организации транспортного обслуживания населения», на новых принципах заменяющего и расширяющего сферу регулирования 220-ФЗ (ответственность органов власти за соблюдение стандартов качества для каждого жителя, полный переход к брутто-контрактам). До разработки и принятия подобного закона необходимо внести ряд изменений в 220-ФЗ (в т.ч. возможность отмены маршрутов по нерегулируемому тарифу с учетом предупреждения предпринимателя за 180 дней, чтобы обеспечить ликвидацию непродуктивного дублирования, возможность заключать контракты не на маршрут, а на объем транспортной работы, гарантии приоритета муниципальных / государственных перевозчиков, обязанность разработки Комплексных планов транспортного обслуживания населения (КПТО) для городов и агломераций, повышение ответственности перевозчиков при работе по нерегулируемому тарифу с расширением возможностей изъятия карт маршрутов и др.). Меры по совершенствованию правового регулирования не включаются в паспорт Программы (т.к. они не входят в компетенцию Правительства России), однако подобная работа должна проводиться в течение всего периода реализации Программы. </w:t>
      </w:r>
    </w:p>
    <w:p w14:paraId="5ED6FE56" w14:textId="77777777" w:rsidR="006F205A" w:rsidRDefault="006F205A">
      <w:pPr>
        <w:spacing w:after="0" w:line="240" w:lineRule="auto"/>
        <w:ind w:firstLine="709"/>
        <w:jc w:val="both"/>
        <w:rPr>
          <w:rFonts w:ascii="Times New Roman" w:hAnsi="Times New Roman" w:cs="Times New Roman"/>
          <w:sz w:val="24"/>
          <w:szCs w:val="24"/>
        </w:rPr>
      </w:pPr>
    </w:p>
    <w:p w14:paraId="78E812E3" w14:textId="09457186" w:rsidR="006F205A" w:rsidRPr="005E7C28" w:rsidRDefault="00FE4E43" w:rsidP="005E7C28">
      <w:pPr>
        <w:ind w:left="360"/>
        <w:jc w:val="both"/>
        <w:rPr>
          <w:rFonts w:ascii="Times New Roman" w:hAnsi="Times New Roman" w:cs="Times New Roman"/>
          <w:b/>
        </w:rPr>
      </w:pPr>
      <w:r w:rsidRPr="005E7C28">
        <w:rPr>
          <w:rFonts w:ascii="Times New Roman" w:hAnsi="Times New Roman" w:cs="Times New Roman"/>
          <w:b/>
        </w:rPr>
        <w:t>Предложения по условиям финансирования и порядку отбора заявок на</w:t>
      </w:r>
      <w:r w:rsidR="00183DC6" w:rsidRPr="005E7C28">
        <w:rPr>
          <w:rFonts w:ascii="Times New Roman" w:hAnsi="Times New Roman" w:cs="Times New Roman"/>
          <w:b/>
        </w:rPr>
        <w:t xml:space="preserve"> участие в программе развития городского электротранспорта</w:t>
      </w:r>
    </w:p>
    <w:p w14:paraId="7A299303" w14:textId="4A4209A4"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 xml:space="preserve">Федеральное со-финансирование предоставляется субъекту Российской Федерации (РФ) в интересах каждого конкретного проекта по развитию </w:t>
      </w:r>
      <w:r w:rsidR="00DE734A" w:rsidRPr="005E7C28">
        <w:rPr>
          <w:rFonts w:ascii="Times New Roman" w:hAnsi="Times New Roman" w:cs="Times New Roman"/>
        </w:rPr>
        <w:t>ГЭТ</w:t>
      </w:r>
      <w:r w:rsidRPr="005E7C28">
        <w:rPr>
          <w:rFonts w:ascii="Times New Roman" w:hAnsi="Times New Roman" w:cs="Times New Roman"/>
        </w:rPr>
        <w:t xml:space="preserve">, реализуемого на его  территории. Правительство субъекта РФ является ответственным за реализацию мероприятий перед Правительством России. В случае, если полномочия по транспортному обслуживанию города не переданы в полномочия субъекта РФ, субъект РФ субсидирует реализацию мероприятий городом, проводит контроль реализации мероприятий и отчитывается перед Правительством России. </w:t>
      </w:r>
    </w:p>
    <w:p w14:paraId="27F9C05E" w14:textId="24DDC37D"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 xml:space="preserve">Ежегодные объемы программы </w:t>
      </w:r>
      <w:r w:rsidR="00183DC6" w:rsidRPr="005E7C28">
        <w:rPr>
          <w:rFonts w:ascii="Times New Roman" w:hAnsi="Times New Roman" w:cs="Times New Roman"/>
        </w:rPr>
        <w:t xml:space="preserve">ограничены </w:t>
      </w:r>
      <w:r w:rsidRPr="005E7C28">
        <w:rPr>
          <w:rFonts w:ascii="Times New Roman" w:hAnsi="Times New Roman" w:cs="Times New Roman"/>
        </w:rPr>
        <w:t xml:space="preserve">производственными возможностями производителей подвижного состава, комплектующих, строительных материалов и т.п., а также кадровым потенциалом системы </w:t>
      </w:r>
      <w:r w:rsidR="00DE734A" w:rsidRPr="005E7C28">
        <w:rPr>
          <w:rFonts w:ascii="Times New Roman" w:hAnsi="Times New Roman" w:cs="Times New Roman"/>
        </w:rPr>
        <w:t>ГЭТ</w:t>
      </w:r>
      <w:r w:rsidRPr="005E7C28">
        <w:rPr>
          <w:rFonts w:ascii="Times New Roman" w:hAnsi="Times New Roman" w:cs="Times New Roman"/>
        </w:rPr>
        <w:t>:</w:t>
      </w:r>
    </w:p>
    <w:p w14:paraId="3355ADBE" w14:textId="77777777"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 xml:space="preserve">Основным ограничением по инфраструктуре является необходимость компенсационного транспорта на период ремонтов/строительства (сеть должна оставаться в целом работоспособной, закрытию на ремонт подлежат только 1-2 крупных линии в летний период, что составляет до 15-20% протяженности сетей или до 15-20 км одиночного пути в год, максимальный из двух ограничителей). </w:t>
      </w:r>
    </w:p>
    <w:p w14:paraId="78F71275" w14:textId="77777777"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 xml:space="preserve">Основным ограничением по подвижному составу является выход заводов на «плато» постоянной производственной загрузки (необходимо избегать пиков и спадов, </w:t>
      </w:r>
      <w:r w:rsidRPr="005E7C28">
        <w:rPr>
          <w:rFonts w:ascii="Times New Roman" w:hAnsi="Times New Roman" w:cs="Times New Roman"/>
        </w:rPr>
        <w:lastRenderedPageBreak/>
        <w:t>которые ведут к значительным убыткам из-за недоиспользования мощностей, досрочных увольнений и поиска кадров, росту себестоимости). Плато должно обеспечить постепенную компенсацию отставания, которая по мере завершения компенсации должна замещаться ростом протяженности линий.</w:t>
      </w:r>
    </w:p>
    <w:p w14:paraId="398C1ACD" w14:textId="5B5084E6" w:rsidR="006F205A" w:rsidRPr="005E7C28" w:rsidRDefault="00183DC6" w:rsidP="005E7C28">
      <w:pPr>
        <w:pStyle w:val="af9"/>
        <w:numPr>
          <w:ilvl w:val="0"/>
          <w:numId w:val="3"/>
        </w:numPr>
        <w:jc w:val="both"/>
        <w:rPr>
          <w:rFonts w:ascii="Times New Roman" w:hAnsi="Times New Roman" w:cs="Times New Roman"/>
          <w:highlight w:val="yellow"/>
        </w:rPr>
      </w:pPr>
      <w:r w:rsidRPr="005E7C28">
        <w:rPr>
          <w:rFonts w:ascii="Times New Roman" w:hAnsi="Times New Roman" w:cs="Times New Roman"/>
        </w:rPr>
        <w:t>Общий объем</w:t>
      </w:r>
      <w:r w:rsidR="00FE4E43" w:rsidRPr="005E7C28">
        <w:rPr>
          <w:rFonts w:ascii="Times New Roman" w:hAnsi="Times New Roman" w:cs="Times New Roman"/>
        </w:rPr>
        <w:t xml:space="preserve"> программы (на вес</w:t>
      </w:r>
      <w:r w:rsidRPr="005E7C28">
        <w:rPr>
          <w:rFonts w:ascii="Times New Roman" w:hAnsi="Times New Roman" w:cs="Times New Roman"/>
        </w:rPr>
        <w:t>ь</w:t>
      </w:r>
      <w:r w:rsidR="00FE4E43" w:rsidRPr="005E7C28">
        <w:rPr>
          <w:rFonts w:ascii="Times New Roman" w:hAnsi="Times New Roman" w:cs="Times New Roman"/>
        </w:rPr>
        <w:t xml:space="preserve"> период её реализации) должен </w:t>
      </w:r>
      <w:r w:rsidRPr="005E7C28">
        <w:rPr>
          <w:rFonts w:ascii="Times New Roman" w:hAnsi="Times New Roman" w:cs="Times New Roman"/>
        </w:rPr>
        <w:t xml:space="preserve">обеспечивать восстановление всего объема </w:t>
      </w:r>
      <w:r w:rsidR="00FE4E43" w:rsidRPr="005E7C28">
        <w:rPr>
          <w:rFonts w:ascii="Times New Roman" w:hAnsi="Times New Roman" w:cs="Times New Roman"/>
        </w:rPr>
        <w:t xml:space="preserve">имеющейся инфраструктуры </w:t>
      </w:r>
      <w:r w:rsidR="00794E9A" w:rsidRPr="005E7C28">
        <w:rPr>
          <w:rFonts w:ascii="Times New Roman" w:hAnsi="Times New Roman" w:cs="Times New Roman"/>
        </w:rPr>
        <w:t xml:space="preserve">ГЭТ </w:t>
      </w:r>
      <w:r w:rsidR="00FE4E43" w:rsidRPr="005E7C28">
        <w:rPr>
          <w:rFonts w:ascii="Times New Roman" w:hAnsi="Times New Roman" w:cs="Times New Roman"/>
        </w:rPr>
        <w:t>во всех городах. Города, при обосновании объемов, вправе предлагать строительство новых участков сети вместо ремонта существующих участков той же протяженности и стоимости (при этом ремонт</w:t>
      </w:r>
      <w:r w:rsidRPr="005E7C28">
        <w:rPr>
          <w:rFonts w:ascii="Times New Roman" w:hAnsi="Times New Roman" w:cs="Times New Roman"/>
        </w:rPr>
        <w:t xml:space="preserve"> существующих участков</w:t>
      </w:r>
      <w:r w:rsidR="00FE4E43" w:rsidRPr="005E7C28">
        <w:rPr>
          <w:rFonts w:ascii="Times New Roman" w:hAnsi="Times New Roman" w:cs="Times New Roman"/>
        </w:rPr>
        <w:t xml:space="preserve"> будет осуществляться своими силами, с переносом сроков на последующие периоды или в рамках брутто-контрактов), что позволит не </w:t>
      </w:r>
      <w:r w:rsidRPr="005E7C28">
        <w:rPr>
          <w:rFonts w:ascii="Times New Roman" w:hAnsi="Times New Roman" w:cs="Times New Roman"/>
        </w:rPr>
        <w:t>увеличивать объемы программы</w:t>
      </w:r>
      <w:r w:rsidR="00FE4E43" w:rsidRPr="005E7C28">
        <w:rPr>
          <w:rFonts w:ascii="Times New Roman" w:hAnsi="Times New Roman" w:cs="Times New Roman"/>
        </w:rPr>
        <w:t xml:space="preserve"> новым строительством</w:t>
      </w:r>
      <w:r w:rsidRPr="005E7C28">
        <w:rPr>
          <w:rFonts w:ascii="Times New Roman" w:hAnsi="Times New Roman" w:cs="Times New Roman"/>
        </w:rPr>
        <w:t>, сдерживать её в объеме имеющихся линий</w:t>
      </w:r>
      <w:r w:rsidR="00FE4E43" w:rsidRPr="005E7C28">
        <w:rPr>
          <w:rFonts w:ascii="Times New Roman" w:hAnsi="Times New Roman" w:cs="Times New Roman"/>
        </w:rPr>
        <w:t xml:space="preserve">. Таким образом, объем на город (регион) определяется имеющейся в городе (регионе) протяженностью сети. </w:t>
      </w:r>
    </w:p>
    <w:p w14:paraId="4EECED88" w14:textId="2006E89D"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 xml:space="preserve">Соотношение финансирования мероприятий: 75% федеральный бюджет, 25% - региональный и местный бюджет. Данное соотношение объясняется ограничением местных и региональных бюджетов, которые (как правило) не могут обеспечить финансирование ремонта более 3-4 </w:t>
      </w:r>
      <w:proofErr w:type="spellStart"/>
      <w:r w:rsidRPr="005E7C28">
        <w:rPr>
          <w:rFonts w:ascii="Times New Roman" w:hAnsi="Times New Roman" w:cs="Times New Roman"/>
        </w:rPr>
        <w:t>кмоп</w:t>
      </w:r>
      <w:proofErr w:type="spellEnd"/>
      <w:r w:rsidRPr="005E7C28">
        <w:rPr>
          <w:rFonts w:ascii="Times New Roman" w:hAnsi="Times New Roman" w:cs="Times New Roman"/>
        </w:rPr>
        <w:t xml:space="preserve"> линий электротранспорта в год (300-400 млн консолидированного бюджета региона и города для трамвая, 75-100 млн для троллейбуса) при необходимости ремонта до 15-20 км в год с целью ускоренного восстановления (то есть, потребность в 4 раза превышает возможности, поэтому ¾ должно покрываться за счет федерального бюджета). Указанное финансирование (с учетом федерального софинансирования) включает все виды мероприятий, в том числе по ремонту и строительству инфраструктуры ГЭТ всех видов, обновлению или ремонту подвижного состава (однако федеральная часть предоставляется только на подвижной состав и объекты инфраструктуры). Таким образом, федеральное </w:t>
      </w:r>
      <w:proofErr w:type="spellStart"/>
      <w:r w:rsidRPr="005E7C28">
        <w:rPr>
          <w:rFonts w:ascii="Times New Roman" w:hAnsi="Times New Roman" w:cs="Times New Roman"/>
        </w:rPr>
        <w:t>софинансирование</w:t>
      </w:r>
      <w:proofErr w:type="spellEnd"/>
      <w:r w:rsidRPr="005E7C28">
        <w:rPr>
          <w:rFonts w:ascii="Times New Roman" w:hAnsi="Times New Roman" w:cs="Times New Roman"/>
        </w:rPr>
        <w:t xml:space="preserve"> позволяет в 4 раза ускорить мероприятия и обеспечить восстановление работы ГЭТ в большинстве городов в течение 7,5 лет; без </w:t>
      </w:r>
      <w:r w:rsidR="00794E9A" w:rsidRPr="005E7C28">
        <w:rPr>
          <w:rFonts w:ascii="Times New Roman" w:hAnsi="Times New Roman" w:cs="Times New Roman"/>
        </w:rPr>
        <w:t xml:space="preserve">федеральной </w:t>
      </w:r>
      <w:r w:rsidRPr="005E7C28">
        <w:rPr>
          <w:rFonts w:ascii="Times New Roman" w:hAnsi="Times New Roman" w:cs="Times New Roman"/>
        </w:rPr>
        <w:t>программы восстановление растянулось бы на 30 и более лет (на срок обновления подвижного состава и инфраструктуры в рамках контрактов на перевозки в соответствии с НМЦК по приказу №351).</w:t>
      </w:r>
    </w:p>
    <w:p w14:paraId="72616A0C" w14:textId="77777777"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 xml:space="preserve">Основой заявки агломерации на </w:t>
      </w:r>
      <w:proofErr w:type="spellStart"/>
      <w:r w:rsidRPr="005E7C28">
        <w:rPr>
          <w:rFonts w:ascii="Times New Roman" w:hAnsi="Times New Roman" w:cs="Times New Roman"/>
        </w:rPr>
        <w:t>софинансирование</w:t>
      </w:r>
      <w:proofErr w:type="spellEnd"/>
      <w:r w:rsidRPr="005E7C28">
        <w:rPr>
          <w:rFonts w:ascii="Times New Roman" w:hAnsi="Times New Roman" w:cs="Times New Roman"/>
        </w:rPr>
        <w:t xml:space="preserve"> ГЭТ являются документы транспортного планирования, адаптированные для участия в программе. В конкурсе на доступ к долгосрочному федеральному </w:t>
      </w:r>
      <w:proofErr w:type="spellStart"/>
      <w:r w:rsidRPr="005E7C28">
        <w:rPr>
          <w:rFonts w:ascii="Times New Roman" w:hAnsi="Times New Roman" w:cs="Times New Roman"/>
        </w:rPr>
        <w:t>софинансираванию</w:t>
      </w:r>
      <w:proofErr w:type="spellEnd"/>
      <w:r w:rsidRPr="005E7C28">
        <w:rPr>
          <w:rFonts w:ascii="Times New Roman" w:hAnsi="Times New Roman" w:cs="Times New Roman"/>
        </w:rPr>
        <w:t xml:space="preserve"> участвуют комплексные проекты развития ГЭТ, как части системы транспорта общего пользования. Требования к документам транспортного планирования и проектам для участия в Программе определяются методическими рекомендациями Минтранса России. При высоком качестве документов планирования возможна разработка отдельных дополнений; если качество документов недостаточное – должны разрабатываться новые. Основные требования к документам планирования для участия в заявке должны включать:</w:t>
      </w:r>
    </w:p>
    <w:p w14:paraId="1E2E40ED" w14:textId="27A46874"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Технологический аудит инфраструктуры ГЭТ – т.е. подробное описание состава и состояния инфраструктуры, определение сроков возможного использования</w:t>
      </w:r>
      <w:r w:rsidR="00794E9A" w:rsidRPr="005E7C28">
        <w:rPr>
          <w:rFonts w:ascii="Times New Roman" w:hAnsi="Times New Roman" w:cs="Times New Roman"/>
        </w:rPr>
        <w:t xml:space="preserve"> элементов инфраструктуры</w:t>
      </w:r>
      <w:r w:rsidRPr="005E7C28">
        <w:rPr>
          <w:rFonts w:ascii="Times New Roman" w:hAnsi="Times New Roman" w:cs="Times New Roman"/>
        </w:rPr>
        <w:t xml:space="preserve"> до полного исчерпания ресурса, стоимости ремонта или замены, сроков ремонта или замены, с максимально возможным повторным использованием элементов, которые ещё не исчерпали свой ресурс. </w:t>
      </w:r>
    </w:p>
    <w:p w14:paraId="6F7D9398" w14:textId="77777777"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Предоставление расчета социально-экономической эффективности трех сценариев: 1) замещение автобусов электротранспортом в коридорах с наибольшим пассажиропотоком с учетом нового строительства линий ГЭТ, 2) замещение автобусов электротранспортом на существующих линиях ГЭТ без нового строительства (устранение дублирования ГЭТ), 3) замещение ГЭТ автобусом. Эффективность рассчитывается по системе ГПТОП В ЦЕЛОМ, с учетом всех типов мероприятий (в т.ч. организации выделенных полос, создания приоритета проезда трамвая, ликвидации дублирования и т.п.).</w:t>
      </w:r>
    </w:p>
    <w:p w14:paraId="3F9423B5" w14:textId="3B075B80"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 xml:space="preserve">Оптимистичный порядок реализации рекомендуемого сценария (с учетом предоставления федерального софинансирования) разрабатывается, исходя из </w:t>
      </w:r>
      <w:r w:rsidRPr="005E7C28">
        <w:rPr>
          <w:rFonts w:ascii="Times New Roman" w:hAnsi="Times New Roman" w:cs="Times New Roman"/>
        </w:rPr>
        <w:lastRenderedPageBreak/>
        <w:t xml:space="preserve">ограничения не более 20 км (20 единиц подвижного состава) или не более 20% протяженности существующей сети (20% парка подвижного состава) в год (по максимуму из перечисленного: малую сеть можно отремонтировать всю за 1 год, крупные города могут позволить себе отремонтировать </w:t>
      </w:r>
      <w:r w:rsidR="00794E9A" w:rsidRPr="005E7C28">
        <w:rPr>
          <w:rFonts w:ascii="Times New Roman" w:hAnsi="Times New Roman" w:cs="Times New Roman"/>
        </w:rPr>
        <w:t xml:space="preserve">до </w:t>
      </w:r>
      <w:r w:rsidRPr="005E7C28">
        <w:rPr>
          <w:rFonts w:ascii="Times New Roman" w:hAnsi="Times New Roman" w:cs="Times New Roman"/>
        </w:rPr>
        <w:t>20 км в год).</w:t>
      </w:r>
    </w:p>
    <w:p w14:paraId="312AA967" w14:textId="77777777"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Пессимистичный порядок реализации рекомендуемого сценария (без учета предоставления федерального софинансирования) разрабатывается путем разделения мероприятий каждого года оптимистичного сценария на 4 года, с условием их реализации за счет местного и регионального бюджета.</w:t>
      </w:r>
    </w:p>
    <w:p w14:paraId="4CB1954E" w14:textId="77777777" w:rsidR="006F205A" w:rsidRPr="005E7C28" w:rsidRDefault="00FE4E43" w:rsidP="005E7C28">
      <w:pPr>
        <w:pStyle w:val="af9"/>
        <w:numPr>
          <w:ilvl w:val="1"/>
          <w:numId w:val="3"/>
        </w:numPr>
        <w:jc w:val="both"/>
        <w:rPr>
          <w:rFonts w:ascii="Times New Roman" w:hAnsi="Times New Roman" w:cs="Times New Roman"/>
        </w:rPr>
      </w:pPr>
      <w:r w:rsidRPr="005E7C28">
        <w:rPr>
          <w:rFonts w:ascii="Times New Roman" w:hAnsi="Times New Roman" w:cs="Times New Roman"/>
        </w:rPr>
        <w:t xml:space="preserve">До момента одобрения заявки, регион (город) реализует пессимистичный порядок реализации рекомендуемого сценария; с года, на который одобрено выделение софинансирования, регион реализует оптимистичный порядок реализации рекомендуемого сценария (с ускорением темпов реализации в 4 раза по сравнению с пессимистичным порядком).  </w:t>
      </w:r>
    </w:p>
    <w:p w14:paraId="53B9B6B7" w14:textId="16EB17A6"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Основной механизм софинансирования – облигационный заём, эмитируемый ДОМ.РФ под 8% годовых, с субсидированием процентной ставки (5% субсидируется из федерального бюджета, 3,5% оплачивает регион, в том числе 3% - остаток по процентам и 0,5% - премия банка-эмитента облигаций). При подаче заявки</w:t>
      </w:r>
      <w:r w:rsidR="00794E9A" w:rsidRPr="005E7C28">
        <w:rPr>
          <w:rFonts w:ascii="Times New Roman" w:hAnsi="Times New Roman" w:cs="Times New Roman"/>
        </w:rPr>
        <w:t xml:space="preserve"> и её одобрении как рекомендуемой к реализации</w:t>
      </w:r>
      <w:r w:rsidRPr="005E7C28">
        <w:rPr>
          <w:rFonts w:ascii="Times New Roman" w:hAnsi="Times New Roman" w:cs="Times New Roman"/>
        </w:rPr>
        <w:t xml:space="preserve">, ДОМ.РФ осуществляет </w:t>
      </w:r>
      <w:r w:rsidR="00794E9A" w:rsidRPr="005E7C28">
        <w:rPr>
          <w:rFonts w:ascii="Times New Roman" w:hAnsi="Times New Roman" w:cs="Times New Roman"/>
        </w:rPr>
        <w:t xml:space="preserve">для региона </w:t>
      </w:r>
      <w:r w:rsidRPr="005E7C28">
        <w:rPr>
          <w:rFonts w:ascii="Times New Roman" w:hAnsi="Times New Roman" w:cs="Times New Roman"/>
        </w:rPr>
        <w:t xml:space="preserve">поэтапный выпуск облигаций в объеме, необходимом для пессимистичного порядка реализации рекомендуемого сценария на следующий год (т.е. на 25% софинансирования, обеспечиваемого регионом без федеральной поддержки) и получает субсидию на процентную ставку. В случае одобрения </w:t>
      </w:r>
      <w:r w:rsidR="00794E9A" w:rsidRPr="005E7C28">
        <w:rPr>
          <w:rFonts w:ascii="Times New Roman" w:hAnsi="Times New Roman" w:cs="Times New Roman"/>
        </w:rPr>
        <w:t xml:space="preserve">федерального софинансирования </w:t>
      </w:r>
      <w:r w:rsidRPr="005E7C28">
        <w:rPr>
          <w:rFonts w:ascii="Times New Roman" w:hAnsi="Times New Roman" w:cs="Times New Roman"/>
        </w:rPr>
        <w:t>заявки</w:t>
      </w:r>
      <w:r w:rsidR="00794E9A" w:rsidRPr="005E7C28">
        <w:rPr>
          <w:rFonts w:ascii="Times New Roman" w:hAnsi="Times New Roman" w:cs="Times New Roman"/>
        </w:rPr>
        <w:t xml:space="preserve"> на заданный год</w:t>
      </w:r>
      <w:r w:rsidRPr="005E7C28">
        <w:rPr>
          <w:rFonts w:ascii="Times New Roman" w:hAnsi="Times New Roman" w:cs="Times New Roman"/>
        </w:rPr>
        <w:t>, осуществляется дополнительная эмиссия облигаций (оставшиеся 75% для реализации по оптимистично</w:t>
      </w:r>
      <w:r w:rsidR="00794E9A" w:rsidRPr="005E7C28">
        <w:rPr>
          <w:rFonts w:ascii="Times New Roman" w:hAnsi="Times New Roman" w:cs="Times New Roman"/>
        </w:rPr>
        <w:t>му</w:t>
      </w:r>
      <w:r w:rsidRPr="005E7C28">
        <w:rPr>
          <w:rFonts w:ascii="Times New Roman" w:hAnsi="Times New Roman" w:cs="Times New Roman"/>
        </w:rPr>
        <w:t xml:space="preserve"> порядк</w:t>
      </w:r>
      <w:r w:rsidR="00794E9A" w:rsidRPr="005E7C28">
        <w:rPr>
          <w:rFonts w:ascii="Times New Roman" w:hAnsi="Times New Roman" w:cs="Times New Roman"/>
        </w:rPr>
        <w:t>у</w:t>
      </w:r>
      <w:r w:rsidRPr="005E7C28">
        <w:rPr>
          <w:rFonts w:ascii="Times New Roman" w:hAnsi="Times New Roman" w:cs="Times New Roman"/>
        </w:rPr>
        <w:t xml:space="preserve"> реализации на </w:t>
      </w:r>
      <w:r w:rsidR="00794E9A" w:rsidRPr="005E7C28">
        <w:rPr>
          <w:rFonts w:ascii="Times New Roman" w:hAnsi="Times New Roman" w:cs="Times New Roman"/>
        </w:rPr>
        <w:t xml:space="preserve">заданный </w:t>
      </w:r>
      <w:r w:rsidRPr="005E7C28">
        <w:rPr>
          <w:rFonts w:ascii="Times New Roman" w:hAnsi="Times New Roman" w:cs="Times New Roman"/>
        </w:rPr>
        <w:t xml:space="preserve">год), с обязательством федерального бюджета выкупить </w:t>
      </w:r>
      <w:proofErr w:type="spellStart"/>
      <w:r w:rsidRPr="005E7C28">
        <w:rPr>
          <w:rFonts w:ascii="Times New Roman" w:hAnsi="Times New Roman" w:cs="Times New Roman"/>
        </w:rPr>
        <w:t>довыпуск</w:t>
      </w:r>
      <w:proofErr w:type="spellEnd"/>
      <w:r w:rsidRPr="005E7C28">
        <w:rPr>
          <w:rFonts w:ascii="Times New Roman" w:hAnsi="Times New Roman" w:cs="Times New Roman"/>
        </w:rPr>
        <w:t xml:space="preserve"> 75% облигаций после реализации мероприятий, предусмотренных документами транспортного планирования и мероприятиями заявки.  </w:t>
      </w:r>
    </w:p>
    <w:p w14:paraId="16A35B1B" w14:textId="79B89EE0" w:rsidR="006F205A" w:rsidRPr="005E7C28" w:rsidRDefault="00FE4E43" w:rsidP="005E7C28">
      <w:pPr>
        <w:pStyle w:val="af9"/>
        <w:numPr>
          <w:ilvl w:val="0"/>
          <w:numId w:val="3"/>
        </w:numPr>
        <w:jc w:val="both"/>
        <w:rPr>
          <w:rFonts w:ascii="Times New Roman" w:hAnsi="Times New Roman" w:cs="Times New Roman"/>
        </w:rPr>
      </w:pPr>
      <w:r w:rsidRPr="005E7C28">
        <w:rPr>
          <w:rFonts w:ascii="Times New Roman" w:hAnsi="Times New Roman" w:cs="Times New Roman"/>
        </w:rPr>
        <w:t xml:space="preserve">Очередность предоставления субсидий определяется: а) ежегодным лимитом финансирования из федерального бюджета; б) рангом заявки по убыванию социально-экономической эффективности предлагаемых мероприятий на очередной год. Сначала предоставляется субсидия на процентные ставки по облигациям (всем регионам, чьи заявки одобрены Экспертным советом Минтранса РФ, как рекомендуемые к реализации); в случае, если после субсидирования процентной ставки на следующий год остаются средства в рамках лимита, они предоставляются регионам на </w:t>
      </w:r>
      <w:proofErr w:type="spellStart"/>
      <w:r w:rsidRPr="005E7C28">
        <w:rPr>
          <w:rFonts w:ascii="Times New Roman" w:hAnsi="Times New Roman" w:cs="Times New Roman"/>
        </w:rPr>
        <w:t>довыпуск</w:t>
      </w:r>
      <w:proofErr w:type="spellEnd"/>
      <w:r w:rsidRPr="005E7C28">
        <w:rPr>
          <w:rFonts w:ascii="Times New Roman" w:hAnsi="Times New Roman" w:cs="Times New Roman"/>
        </w:rPr>
        <w:t xml:space="preserve"> облигаций с 25% до 100% с их выкупом после реализации мероприятий (в порядке убывания социально-экономической эффективности комплексов мероприятий на следующий год).</w:t>
      </w:r>
      <w:r w:rsidR="00794E9A" w:rsidRPr="005E7C28">
        <w:rPr>
          <w:rFonts w:ascii="Times New Roman" w:hAnsi="Times New Roman" w:cs="Times New Roman"/>
        </w:rPr>
        <w:t xml:space="preserve"> Таким образом, субсидирование ставки на 25% необходимого ежегодного объема предоставляется по всем заявкам, рекомендуемым к реализации; субсидирование ставки на оставшиеся 75% необходимого ежегодного объема (а также выкуп указанных 75% облигаций за счет федерального бюджета) </w:t>
      </w:r>
      <w:r w:rsidRPr="005E7C28">
        <w:rPr>
          <w:rFonts w:ascii="Times New Roman" w:hAnsi="Times New Roman" w:cs="Times New Roman"/>
        </w:rPr>
        <w:t>осуществляется только по заявкам, показавшим наибольшую социально-экономическую эффективность реализуемых мероприятий (в порядке убывания показателя эффективности, до исчерпания лимита на заданный год). По последней одобренной заявке финансирование предоставляется частично в рамках остатков лимита финансирования, с переносом финансирования до полного объема на последующие периоды.</w:t>
      </w:r>
    </w:p>
    <w:sectPr w:rsidR="006F205A" w:rsidRPr="005E7C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7DE4" w14:textId="77777777" w:rsidR="0079182E" w:rsidRDefault="0079182E">
      <w:pPr>
        <w:spacing w:after="0" w:line="240" w:lineRule="auto"/>
      </w:pPr>
      <w:r>
        <w:separator/>
      </w:r>
    </w:p>
  </w:endnote>
  <w:endnote w:type="continuationSeparator" w:id="0">
    <w:p w14:paraId="2DE7506A" w14:textId="77777777" w:rsidR="0079182E" w:rsidRDefault="0079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2693" w14:textId="77777777" w:rsidR="0079182E" w:rsidRDefault="0079182E">
      <w:pPr>
        <w:spacing w:after="0" w:line="240" w:lineRule="auto"/>
      </w:pPr>
      <w:r>
        <w:separator/>
      </w:r>
    </w:p>
  </w:footnote>
  <w:footnote w:type="continuationSeparator" w:id="0">
    <w:p w14:paraId="1417EB52" w14:textId="77777777" w:rsidR="0079182E" w:rsidRDefault="0079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8F7"/>
    <w:multiLevelType w:val="hybridMultilevel"/>
    <w:tmpl w:val="9A180C66"/>
    <w:lvl w:ilvl="0" w:tplc="02560942">
      <w:start w:val="1"/>
      <w:numFmt w:val="decimal"/>
      <w:lvlText w:val="%1."/>
      <w:lvlJc w:val="left"/>
      <w:pPr>
        <w:tabs>
          <w:tab w:val="num" w:pos="720"/>
        </w:tabs>
        <w:ind w:left="720" w:hanging="360"/>
      </w:pPr>
    </w:lvl>
    <w:lvl w:ilvl="1" w:tplc="7E6A1D12">
      <w:start w:val="1"/>
      <w:numFmt w:val="decimal"/>
      <w:lvlText w:val="%2."/>
      <w:lvlJc w:val="left"/>
      <w:pPr>
        <w:tabs>
          <w:tab w:val="num" w:pos="1440"/>
        </w:tabs>
        <w:ind w:left="1440" w:hanging="360"/>
      </w:pPr>
    </w:lvl>
    <w:lvl w:ilvl="2" w:tplc="B77A7390">
      <w:start w:val="1"/>
      <w:numFmt w:val="decimal"/>
      <w:lvlText w:val="%3."/>
      <w:lvlJc w:val="left"/>
      <w:pPr>
        <w:tabs>
          <w:tab w:val="num" w:pos="2160"/>
        </w:tabs>
        <w:ind w:left="2160" w:hanging="360"/>
      </w:pPr>
    </w:lvl>
    <w:lvl w:ilvl="3" w:tplc="D02A96E0">
      <w:start w:val="1"/>
      <w:numFmt w:val="decimal"/>
      <w:lvlText w:val="%4."/>
      <w:lvlJc w:val="left"/>
      <w:pPr>
        <w:tabs>
          <w:tab w:val="num" w:pos="2880"/>
        </w:tabs>
        <w:ind w:left="2880" w:hanging="360"/>
      </w:pPr>
    </w:lvl>
    <w:lvl w:ilvl="4" w:tplc="821294EC">
      <w:start w:val="1"/>
      <w:numFmt w:val="decimal"/>
      <w:lvlText w:val="%5."/>
      <w:lvlJc w:val="left"/>
      <w:pPr>
        <w:tabs>
          <w:tab w:val="num" w:pos="3600"/>
        </w:tabs>
        <w:ind w:left="3600" w:hanging="360"/>
      </w:pPr>
    </w:lvl>
    <w:lvl w:ilvl="5" w:tplc="BF304B4C">
      <w:start w:val="1"/>
      <w:numFmt w:val="decimal"/>
      <w:lvlText w:val="%6."/>
      <w:lvlJc w:val="left"/>
      <w:pPr>
        <w:tabs>
          <w:tab w:val="num" w:pos="4320"/>
        </w:tabs>
        <w:ind w:left="4320" w:hanging="360"/>
      </w:pPr>
    </w:lvl>
    <w:lvl w:ilvl="6" w:tplc="F7565E0C">
      <w:start w:val="1"/>
      <w:numFmt w:val="decimal"/>
      <w:lvlText w:val="%7."/>
      <w:lvlJc w:val="left"/>
      <w:pPr>
        <w:tabs>
          <w:tab w:val="num" w:pos="5040"/>
        </w:tabs>
        <w:ind w:left="5040" w:hanging="360"/>
      </w:pPr>
    </w:lvl>
    <w:lvl w:ilvl="7" w:tplc="87787C8E">
      <w:start w:val="1"/>
      <w:numFmt w:val="decimal"/>
      <w:lvlText w:val="%8."/>
      <w:lvlJc w:val="left"/>
      <w:pPr>
        <w:tabs>
          <w:tab w:val="num" w:pos="5760"/>
        </w:tabs>
        <w:ind w:left="5760" w:hanging="360"/>
      </w:pPr>
    </w:lvl>
    <w:lvl w:ilvl="8" w:tplc="B780397A">
      <w:start w:val="1"/>
      <w:numFmt w:val="decimal"/>
      <w:lvlText w:val="%9."/>
      <w:lvlJc w:val="left"/>
      <w:pPr>
        <w:tabs>
          <w:tab w:val="num" w:pos="6480"/>
        </w:tabs>
        <w:ind w:left="6480" w:hanging="360"/>
      </w:pPr>
    </w:lvl>
  </w:abstractNum>
  <w:abstractNum w:abstractNumId="1" w15:restartNumberingAfterBreak="0">
    <w:nsid w:val="0A4D7005"/>
    <w:multiLevelType w:val="hybridMultilevel"/>
    <w:tmpl w:val="6A42CD38"/>
    <w:lvl w:ilvl="0" w:tplc="53D0BADA">
      <w:start w:val="1"/>
      <w:numFmt w:val="bullet"/>
      <w:lvlText w:val=""/>
      <w:lvlJc w:val="left"/>
      <w:pPr>
        <w:ind w:left="1080" w:hanging="360"/>
      </w:pPr>
      <w:rPr>
        <w:rFonts w:ascii="Symbol" w:hAnsi="Symbol" w:hint="default"/>
      </w:rPr>
    </w:lvl>
    <w:lvl w:ilvl="1" w:tplc="F098B396">
      <w:start w:val="1"/>
      <w:numFmt w:val="bullet"/>
      <w:lvlText w:val="o"/>
      <w:lvlJc w:val="left"/>
      <w:pPr>
        <w:ind w:left="1800" w:hanging="360"/>
      </w:pPr>
      <w:rPr>
        <w:rFonts w:ascii="Courier New" w:hAnsi="Courier New" w:cs="Courier New" w:hint="default"/>
      </w:rPr>
    </w:lvl>
    <w:lvl w:ilvl="2" w:tplc="272E777A">
      <w:start w:val="1"/>
      <w:numFmt w:val="bullet"/>
      <w:lvlText w:val=""/>
      <w:lvlJc w:val="left"/>
      <w:pPr>
        <w:ind w:left="2520" w:hanging="360"/>
      </w:pPr>
      <w:rPr>
        <w:rFonts w:ascii="Wingdings" w:hAnsi="Wingdings" w:hint="default"/>
      </w:rPr>
    </w:lvl>
    <w:lvl w:ilvl="3" w:tplc="0E285866">
      <w:start w:val="1"/>
      <w:numFmt w:val="bullet"/>
      <w:lvlText w:val=""/>
      <w:lvlJc w:val="left"/>
      <w:pPr>
        <w:ind w:left="3240" w:hanging="360"/>
      </w:pPr>
      <w:rPr>
        <w:rFonts w:ascii="Symbol" w:hAnsi="Symbol" w:hint="default"/>
      </w:rPr>
    </w:lvl>
    <w:lvl w:ilvl="4" w:tplc="BCCEBE52">
      <w:start w:val="1"/>
      <w:numFmt w:val="bullet"/>
      <w:lvlText w:val="o"/>
      <w:lvlJc w:val="left"/>
      <w:pPr>
        <w:ind w:left="3960" w:hanging="360"/>
      </w:pPr>
      <w:rPr>
        <w:rFonts w:ascii="Courier New" w:hAnsi="Courier New" w:cs="Courier New" w:hint="default"/>
      </w:rPr>
    </w:lvl>
    <w:lvl w:ilvl="5" w:tplc="C07C05B8">
      <w:start w:val="1"/>
      <w:numFmt w:val="bullet"/>
      <w:lvlText w:val=""/>
      <w:lvlJc w:val="left"/>
      <w:pPr>
        <w:ind w:left="4680" w:hanging="360"/>
      </w:pPr>
      <w:rPr>
        <w:rFonts w:ascii="Wingdings" w:hAnsi="Wingdings" w:hint="default"/>
      </w:rPr>
    </w:lvl>
    <w:lvl w:ilvl="6" w:tplc="A4BC4B22">
      <w:start w:val="1"/>
      <w:numFmt w:val="bullet"/>
      <w:lvlText w:val=""/>
      <w:lvlJc w:val="left"/>
      <w:pPr>
        <w:ind w:left="5400" w:hanging="360"/>
      </w:pPr>
      <w:rPr>
        <w:rFonts w:ascii="Symbol" w:hAnsi="Symbol" w:hint="default"/>
      </w:rPr>
    </w:lvl>
    <w:lvl w:ilvl="7" w:tplc="E2626148">
      <w:start w:val="1"/>
      <w:numFmt w:val="bullet"/>
      <w:lvlText w:val="o"/>
      <w:lvlJc w:val="left"/>
      <w:pPr>
        <w:ind w:left="6120" w:hanging="360"/>
      </w:pPr>
      <w:rPr>
        <w:rFonts w:ascii="Courier New" w:hAnsi="Courier New" w:cs="Courier New" w:hint="default"/>
      </w:rPr>
    </w:lvl>
    <w:lvl w:ilvl="8" w:tplc="637021BA">
      <w:start w:val="1"/>
      <w:numFmt w:val="bullet"/>
      <w:lvlText w:val=""/>
      <w:lvlJc w:val="left"/>
      <w:pPr>
        <w:ind w:left="6840" w:hanging="360"/>
      </w:pPr>
      <w:rPr>
        <w:rFonts w:ascii="Wingdings" w:hAnsi="Wingdings" w:hint="default"/>
      </w:rPr>
    </w:lvl>
  </w:abstractNum>
  <w:abstractNum w:abstractNumId="2" w15:restartNumberingAfterBreak="0">
    <w:nsid w:val="239F4E60"/>
    <w:multiLevelType w:val="hybridMultilevel"/>
    <w:tmpl w:val="0CC2EFF2"/>
    <w:lvl w:ilvl="0" w:tplc="BD2853A4">
      <w:start w:val="1"/>
      <w:numFmt w:val="bullet"/>
      <w:lvlText w:val="–"/>
      <w:lvlJc w:val="left"/>
      <w:pPr>
        <w:ind w:left="720" w:hanging="360"/>
      </w:pPr>
      <w:rPr>
        <w:rFonts w:ascii="Times New Roman" w:hAnsi="Times New Roman" w:cs="Times New Roman" w:hint="default"/>
      </w:rPr>
    </w:lvl>
    <w:lvl w:ilvl="1" w:tplc="523C4B4E">
      <w:start w:val="1"/>
      <w:numFmt w:val="bullet"/>
      <w:lvlText w:val="o"/>
      <w:lvlJc w:val="left"/>
      <w:pPr>
        <w:ind w:left="1440" w:hanging="360"/>
      </w:pPr>
      <w:rPr>
        <w:rFonts w:ascii="Courier New" w:hAnsi="Courier New" w:cs="Courier New" w:hint="default"/>
      </w:rPr>
    </w:lvl>
    <w:lvl w:ilvl="2" w:tplc="5E70581C">
      <w:start w:val="1"/>
      <w:numFmt w:val="bullet"/>
      <w:lvlText w:val=""/>
      <w:lvlJc w:val="left"/>
      <w:pPr>
        <w:ind w:left="2160" w:hanging="360"/>
      </w:pPr>
      <w:rPr>
        <w:rFonts w:ascii="Wingdings" w:hAnsi="Wingdings" w:hint="default"/>
      </w:rPr>
    </w:lvl>
    <w:lvl w:ilvl="3" w:tplc="979E35C2">
      <w:start w:val="1"/>
      <w:numFmt w:val="bullet"/>
      <w:lvlText w:val=""/>
      <w:lvlJc w:val="left"/>
      <w:pPr>
        <w:ind w:left="2880" w:hanging="360"/>
      </w:pPr>
      <w:rPr>
        <w:rFonts w:ascii="Symbol" w:hAnsi="Symbol" w:hint="default"/>
      </w:rPr>
    </w:lvl>
    <w:lvl w:ilvl="4" w:tplc="CB1C6630">
      <w:start w:val="1"/>
      <w:numFmt w:val="bullet"/>
      <w:lvlText w:val="o"/>
      <w:lvlJc w:val="left"/>
      <w:pPr>
        <w:ind w:left="3600" w:hanging="360"/>
      </w:pPr>
      <w:rPr>
        <w:rFonts w:ascii="Courier New" w:hAnsi="Courier New" w:cs="Courier New" w:hint="default"/>
      </w:rPr>
    </w:lvl>
    <w:lvl w:ilvl="5" w:tplc="CF962866">
      <w:start w:val="1"/>
      <w:numFmt w:val="bullet"/>
      <w:lvlText w:val=""/>
      <w:lvlJc w:val="left"/>
      <w:pPr>
        <w:ind w:left="4320" w:hanging="360"/>
      </w:pPr>
      <w:rPr>
        <w:rFonts w:ascii="Wingdings" w:hAnsi="Wingdings" w:hint="default"/>
      </w:rPr>
    </w:lvl>
    <w:lvl w:ilvl="6" w:tplc="3690C4E6">
      <w:start w:val="1"/>
      <w:numFmt w:val="bullet"/>
      <w:lvlText w:val=""/>
      <w:lvlJc w:val="left"/>
      <w:pPr>
        <w:ind w:left="5040" w:hanging="360"/>
      </w:pPr>
      <w:rPr>
        <w:rFonts w:ascii="Symbol" w:hAnsi="Symbol" w:hint="default"/>
      </w:rPr>
    </w:lvl>
    <w:lvl w:ilvl="7" w:tplc="46BE7D80">
      <w:start w:val="1"/>
      <w:numFmt w:val="bullet"/>
      <w:lvlText w:val="o"/>
      <w:lvlJc w:val="left"/>
      <w:pPr>
        <w:ind w:left="5760" w:hanging="360"/>
      </w:pPr>
      <w:rPr>
        <w:rFonts w:ascii="Courier New" w:hAnsi="Courier New" w:cs="Courier New" w:hint="default"/>
      </w:rPr>
    </w:lvl>
    <w:lvl w:ilvl="8" w:tplc="00BA4284">
      <w:start w:val="1"/>
      <w:numFmt w:val="bullet"/>
      <w:lvlText w:val=""/>
      <w:lvlJc w:val="left"/>
      <w:pPr>
        <w:ind w:left="6480" w:hanging="360"/>
      </w:pPr>
      <w:rPr>
        <w:rFonts w:ascii="Wingdings" w:hAnsi="Wingdings" w:hint="default"/>
      </w:rPr>
    </w:lvl>
  </w:abstractNum>
  <w:abstractNum w:abstractNumId="3" w15:restartNumberingAfterBreak="0">
    <w:nsid w:val="274F3A83"/>
    <w:multiLevelType w:val="hybridMultilevel"/>
    <w:tmpl w:val="DD440B1C"/>
    <w:lvl w:ilvl="0" w:tplc="73561AA2">
      <w:start w:val="1"/>
      <w:numFmt w:val="decimal"/>
      <w:lvlText w:val="%1."/>
      <w:lvlJc w:val="left"/>
      <w:pPr>
        <w:ind w:left="720" w:hanging="360"/>
      </w:pPr>
    </w:lvl>
    <w:lvl w:ilvl="1" w:tplc="0AF018BA">
      <w:start w:val="1"/>
      <w:numFmt w:val="lowerLetter"/>
      <w:lvlText w:val="%2."/>
      <w:lvlJc w:val="left"/>
      <w:pPr>
        <w:ind w:left="1440" w:hanging="360"/>
      </w:pPr>
    </w:lvl>
    <w:lvl w:ilvl="2" w:tplc="DCAC4BE2">
      <w:start w:val="1"/>
      <w:numFmt w:val="lowerRoman"/>
      <w:lvlText w:val="%3."/>
      <w:lvlJc w:val="right"/>
      <w:pPr>
        <w:ind w:left="2160" w:hanging="180"/>
      </w:pPr>
    </w:lvl>
    <w:lvl w:ilvl="3" w:tplc="9D786DE2">
      <w:start w:val="1"/>
      <w:numFmt w:val="decimal"/>
      <w:lvlText w:val="%4."/>
      <w:lvlJc w:val="left"/>
      <w:pPr>
        <w:ind w:left="2880" w:hanging="360"/>
      </w:pPr>
    </w:lvl>
    <w:lvl w:ilvl="4" w:tplc="056A1270">
      <w:start w:val="1"/>
      <w:numFmt w:val="lowerLetter"/>
      <w:lvlText w:val="%5."/>
      <w:lvlJc w:val="left"/>
      <w:pPr>
        <w:ind w:left="3600" w:hanging="360"/>
      </w:pPr>
    </w:lvl>
    <w:lvl w:ilvl="5" w:tplc="9A86B2B6">
      <w:start w:val="1"/>
      <w:numFmt w:val="lowerRoman"/>
      <w:lvlText w:val="%6."/>
      <w:lvlJc w:val="right"/>
      <w:pPr>
        <w:ind w:left="4320" w:hanging="180"/>
      </w:pPr>
    </w:lvl>
    <w:lvl w:ilvl="6" w:tplc="9C6200A0">
      <w:start w:val="1"/>
      <w:numFmt w:val="decimal"/>
      <w:lvlText w:val="%7."/>
      <w:lvlJc w:val="left"/>
      <w:pPr>
        <w:ind w:left="5040" w:hanging="360"/>
      </w:pPr>
    </w:lvl>
    <w:lvl w:ilvl="7" w:tplc="4846F978">
      <w:start w:val="1"/>
      <w:numFmt w:val="lowerLetter"/>
      <w:lvlText w:val="%8."/>
      <w:lvlJc w:val="left"/>
      <w:pPr>
        <w:ind w:left="5760" w:hanging="360"/>
      </w:pPr>
    </w:lvl>
    <w:lvl w:ilvl="8" w:tplc="3C5881BE">
      <w:start w:val="1"/>
      <w:numFmt w:val="lowerRoman"/>
      <w:lvlText w:val="%9."/>
      <w:lvlJc w:val="right"/>
      <w:pPr>
        <w:ind w:left="6480" w:hanging="180"/>
      </w:pPr>
    </w:lvl>
  </w:abstractNum>
  <w:abstractNum w:abstractNumId="4" w15:restartNumberingAfterBreak="0">
    <w:nsid w:val="335E5784"/>
    <w:multiLevelType w:val="hybridMultilevel"/>
    <w:tmpl w:val="EA6EFED6"/>
    <w:lvl w:ilvl="0" w:tplc="76145F7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C87A22"/>
    <w:multiLevelType w:val="hybridMultilevel"/>
    <w:tmpl w:val="9BFEDE7A"/>
    <w:lvl w:ilvl="0" w:tplc="B02AEAA4">
      <w:start w:val="1"/>
      <w:numFmt w:val="decimal"/>
      <w:lvlText w:val="%1."/>
      <w:lvlJc w:val="left"/>
      <w:pPr>
        <w:ind w:left="720" w:hanging="360"/>
      </w:pPr>
    </w:lvl>
    <w:lvl w:ilvl="1" w:tplc="5C00EFF6">
      <w:start w:val="1"/>
      <w:numFmt w:val="lowerLetter"/>
      <w:lvlText w:val="%2."/>
      <w:lvlJc w:val="left"/>
      <w:pPr>
        <w:ind w:left="1440" w:hanging="360"/>
      </w:pPr>
    </w:lvl>
    <w:lvl w:ilvl="2" w:tplc="40A44834">
      <w:start w:val="1"/>
      <w:numFmt w:val="lowerRoman"/>
      <w:lvlText w:val="%3."/>
      <w:lvlJc w:val="right"/>
      <w:pPr>
        <w:ind w:left="2160" w:hanging="180"/>
      </w:pPr>
    </w:lvl>
    <w:lvl w:ilvl="3" w:tplc="6D92F772">
      <w:start w:val="1"/>
      <w:numFmt w:val="decimal"/>
      <w:lvlText w:val="%4."/>
      <w:lvlJc w:val="left"/>
      <w:pPr>
        <w:ind w:left="2880" w:hanging="360"/>
      </w:pPr>
    </w:lvl>
    <w:lvl w:ilvl="4" w:tplc="9432C63C">
      <w:start w:val="1"/>
      <w:numFmt w:val="lowerLetter"/>
      <w:lvlText w:val="%5."/>
      <w:lvlJc w:val="left"/>
      <w:pPr>
        <w:ind w:left="3600" w:hanging="360"/>
      </w:pPr>
    </w:lvl>
    <w:lvl w:ilvl="5" w:tplc="864CB4B8">
      <w:start w:val="1"/>
      <w:numFmt w:val="lowerRoman"/>
      <w:lvlText w:val="%6."/>
      <w:lvlJc w:val="right"/>
      <w:pPr>
        <w:ind w:left="4320" w:hanging="180"/>
      </w:pPr>
    </w:lvl>
    <w:lvl w:ilvl="6" w:tplc="A1888204">
      <w:start w:val="1"/>
      <w:numFmt w:val="decimal"/>
      <w:lvlText w:val="%7."/>
      <w:lvlJc w:val="left"/>
      <w:pPr>
        <w:ind w:left="5040" w:hanging="360"/>
      </w:pPr>
    </w:lvl>
    <w:lvl w:ilvl="7" w:tplc="55FC09FE">
      <w:start w:val="1"/>
      <w:numFmt w:val="lowerLetter"/>
      <w:lvlText w:val="%8."/>
      <w:lvlJc w:val="left"/>
      <w:pPr>
        <w:ind w:left="5760" w:hanging="360"/>
      </w:pPr>
    </w:lvl>
    <w:lvl w:ilvl="8" w:tplc="C5B8CE72">
      <w:start w:val="1"/>
      <w:numFmt w:val="lowerRoman"/>
      <w:lvlText w:val="%9."/>
      <w:lvlJc w:val="right"/>
      <w:pPr>
        <w:ind w:left="6480" w:hanging="180"/>
      </w:pPr>
    </w:lvl>
  </w:abstractNum>
  <w:abstractNum w:abstractNumId="6" w15:restartNumberingAfterBreak="0">
    <w:nsid w:val="63086F80"/>
    <w:multiLevelType w:val="hybridMultilevel"/>
    <w:tmpl w:val="C6727C1E"/>
    <w:lvl w:ilvl="0" w:tplc="23606634">
      <w:start w:val="1"/>
      <w:numFmt w:val="bullet"/>
      <w:lvlText w:val=""/>
      <w:lvlJc w:val="left"/>
      <w:pPr>
        <w:ind w:left="360" w:hanging="360"/>
      </w:pPr>
      <w:rPr>
        <w:rFonts w:ascii="Symbol" w:hAnsi="Symbol" w:hint="default"/>
      </w:rPr>
    </w:lvl>
    <w:lvl w:ilvl="1" w:tplc="5C12AE90">
      <w:start w:val="1"/>
      <w:numFmt w:val="bullet"/>
      <w:lvlText w:val="o"/>
      <w:lvlJc w:val="left"/>
      <w:pPr>
        <w:ind w:left="1080" w:hanging="360"/>
      </w:pPr>
      <w:rPr>
        <w:rFonts w:ascii="Courier New" w:hAnsi="Courier New" w:cs="Courier New" w:hint="default"/>
      </w:rPr>
    </w:lvl>
    <w:lvl w:ilvl="2" w:tplc="63C60C8E">
      <w:start w:val="1"/>
      <w:numFmt w:val="bullet"/>
      <w:lvlText w:val=""/>
      <w:lvlJc w:val="left"/>
      <w:pPr>
        <w:ind w:left="1800" w:hanging="360"/>
      </w:pPr>
      <w:rPr>
        <w:rFonts w:ascii="Wingdings" w:hAnsi="Wingdings" w:hint="default"/>
      </w:rPr>
    </w:lvl>
    <w:lvl w:ilvl="3" w:tplc="F6188F5E">
      <w:start w:val="1"/>
      <w:numFmt w:val="bullet"/>
      <w:lvlText w:val=""/>
      <w:lvlJc w:val="left"/>
      <w:pPr>
        <w:ind w:left="2520" w:hanging="360"/>
      </w:pPr>
      <w:rPr>
        <w:rFonts w:ascii="Symbol" w:hAnsi="Symbol" w:hint="default"/>
      </w:rPr>
    </w:lvl>
    <w:lvl w:ilvl="4" w:tplc="B64E62CC">
      <w:start w:val="1"/>
      <w:numFmt w:val="bullet"/>
      <w:lvlText w:val="o"/>
      <w:lvlJc w:val="left"/>
      <w:pPr>
        <w:ind w:left="3240" w:hanging="360"/>
      </w:pPr>
      <w:rPr>
        <w:rFonts w:ascii="Courier New" w:hAnsi="Courier New" w:cs="Courier New" w:hint="default"/>
      </w:rPr>
    </w:lvl>
    <w:lvl w:ilvl="5" w:tplc="8C36876E">
      <w:start w:val="1"/>
      <w:numFmt w:val="bullet"/>
      <w:lvlText w:val=""/>
      <w:lvlJc w:val="left"/>
      <w:pPr>
        <w:ind w:left="3960" w:hanging="360"/>
      </w:pPr>
      <w:rPr>
        <w:rFonts w:ascii="Wingdings" w:hAnsi="Wingdings" w:hint="default"/>
      </w:rPr>
    </w:lvl>
    <w:lvl w:ilvl="6" w:tplc="FABA70BE">
      <w:start w:val="1"/>
      <w:numFmt w:val="bullet"/>
      <w:lvlText w:val=""/>
      <w:lvlJc w:val="left"/>
      <w:pPr>
        <w:ind w:left="4680" w:hanging="360"/>
      </w:pPr>
      <w:rPr>
        <w:rFonts w:ascii="Symbol" w:hAnsi="Symbol" w:hint="default"/>
      </w:rPr>
    </w:lvl>
    <w:lvl w:ilvl="7" w:tplc="BEE28D00">
      <w:start w:val="1"/>
      <w:numFmt w:val="bullet"/>
      <w:lvlText w:val="o"/>
      <w:lvlJc w:val="left"/>
      <w:pPr>
        <w:ind w:left="5400" w:hanging="360"/>
      </w:pPr>
      <w:rPr>
        <w:rFonts w:ascii="Courier New" w:hAnsi="Courier New" w:cs="Courier New" w:hint="default"/>
      </w:rPr>
    </w:lvl>
    <w:lvl w:ilvl="8" w:tplc="BC42C434">
      <w:start w:val="1"/>
      <w:numFmt w:val="bullet"/>
      <w:lvlText w:val=""/>
      <w:lvlJc w:val="left"/>
      <w:pPr>
        <w:ind w:left="6120" w:hanging="360"/>
      </w:pPr>
      <w:rPr>
        <w:rFonts w:ascii="Wingdings" w:hAnsi="Wingdings" w:hint="default"/>
      </w:rPr>
    </w:lvl>
  </w:abstractNum>
  <w:num w:numId="1" w16cid:durableId="1976981688">
    <w:abstractNumId w:val="5"/>
  </w:num>
  <w:num w:numId="2" w16cid:durableId="46884098">
    <w:abstractNumId w:val="0"/>
  </w:num>
  <w:num w:numId="3" w16cid:durableId="788738653">
    <w:abstractNumId w:val="3"/>
  </w:num>
  <w:num w:numId="4" w16cid:durableId="824202572">
    <w:abstractNumId w:val="1"/>
  </w:num>
  <w:num w:numId="5" w16cid:durableId="1351105771">
    <w:abstractNumId w:val="6"/>
  </w:num>
  <w:num w:numId="6" w16cid:durableId="312805111">
    <w:abstractNumId w:val="2"/>
  </w:num>
  <w:num w:numId="7" w16cid:durableId="49035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5A"/>
    <w:rsid w:val="000462D2"/>
    <w:rsid w:val="00183DC6"/>
    <w:rsid w:val="001D38E6"/>
    <w:rsid w:val="002572F7"/>
    <w:rsid w:val="00301EDE"/>
    <w:rsid w:val="005B5DC5"/>
    <w:rsid w:val="005E7C28"/>
    <w:rsid w:val="0063019E"/>
    <w:rsid w:val="006F205A"/>
    <w:rsid w:val="0079182E"/>
    <w:rsid w:val="00794E9A"/>
    <w:rsid w:val="00BA5B1B"/>
    <w:rsid w:val="00CF6293"/>
    <w:rsid w:val="00D528A2"/>
    <w:rsid w:val="00DE734A"/>
    <w:rsid w:val="00F4622E"/>
    <w:rsid w:val="00FE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6015"/>
  <w15:docId w15:val="{37B01440-52FB-454F-A517-9C8AEBF9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paragraph" w:styleId="af9">
    <w:name w:val="List Paragraph"/>
    <w:basedOn w:val="a"/>
    <w:uiPriority w:val="34"/>
    <w:qFormat/>
    <w:pPr>
      <w:ind w:left="720"/>
      <w:contextualSpacing/>
    </w:pPr>
  </w:style>
  <w:style w:type="paragraph" w:styleId="afa">
    <w:name w:val="Revision"/>
    <w:hidden/>
    <w:uiPriority w:val="99"/>
    <w:semiHidden/>
    <w:pPr>
      <w:spacing w:after="0" w:line="240" w:lineRule="auto"/>
    </w:p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customStyle="1" w:styleId="paragraph">
    <w:name w:val="paragraph"/>
    <w:basedOn w:val="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ormaltextrun">
    <w:name w:val="normaltextrun"/>
    <w:basedOn w:val="a0"/>
  </w:style>
  <w:style w:type="character" w:customStyle="1" w:styleId="eop">
    <w:name w:val="eo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3046</Words>
  <Characters>17364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Morozov</dc:creator>
  <cp:keywords/>
  <dc:description/>
  <cp:lastModifiedBy>Microsoft Office User</cp:lastModifiedBy>
  <cp:revision>2</cp:revision>
  <dcterms:created xsi:type="dcterms:W3CDTF">2023-06-02T08:03:00Z</dcterms:created>
  <dcterms:modified xsi:type="dcterms:W3CDTF">2023-06-02T08:03:00Z</dcterms:modified>
</cp:coreProperties>
</file>